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DD" w:rsidRPr="00FD73CE" w:rsidRDefault="00AB79DD" w:rsidP="00AB79DD">
      <w:pPr>
        <w:pStyle w:val="Heading1"/>
        <w:bidi w:val="0"/>
      </w:pPr>
      <w:r w:rsidRPr="00FD73CE">
        <w:t>Birth spacing and domestic violence: Outcome on women and child health</w:t>
      </w:r>
    </w:p>
    <w:p w:rsidR="00AB79DD" w:rsidRPr="00FD73CE" w:rsidRDefault="00AB79DD" w:rsidP="00AB79DD">
      <w:pPr>
        <w:tabs>
          <w:tab w:val="right" w:pos="3402"/>
          <w:tab w:val="center" w:pos="4153"/>
          <w:tab w:val="right" w:pos="8306"/>
        </w:tabs>
        <w:spacing w:before="120" w:after="120" w:line="360" w:lineRule="auto"/>
        <w:contextualSpacing/>
        <w:rPr>
          <w:rFonts w:ascii="Century" w:hAnsi="Century"/>
          <w:b/>
          <w:bCs/>
          <w:sz w:val="8"/>
          <w:szCs w:val="8"/>
        </w:rPr>
      </w:pPr>
    </w:p>
    <w:p w:rsidR="00AB79DD" w:rsidRPr="00444B1E" w:rsidRDefault="00AB79DD" w:rsidP="00AB79DD">
      <w:pPr>
        <w:tabs>
          <w:tab w:val="right" w:pos="3402"/>
          <w:tab w:val="center" w:pos="4153"/>
          <w:tab w:val="right" w:pos="8306"/>
        </w:tabs>
        <w:spacing w:before="120" w:after="120" w:line="360" w:lineRule="auto"/>
        <w:contextualSpacing/>
        <w:rPr>
          <w:b/>
          <w:bCs/>
          <w:i/>
          <w:iCs/>
          <w:sz w:val="22"/>
          <w:szCs w:val="22"/>
        </w:rPr>
      </w:pPr>
      <w:proofErr w:type="spellStart"/>
      <w:r w:rsidRPr="00444B1E">
        <w:rPr>
          <w:b/>
          <w:bCs/>
          <w:i/>
          <w:iCs/>
          <w:sz w:val="22"/>
          <w:szCs w:val="22"/>
        </w:rPr>
        <w:t>Azza</w:t>
      </w:r>
      <w:proofErr w:type="spellEnd"/>
      <w:r w:rsidRPr="00444B1E">
        <w:rPr>
          <w:b/>
          <w:bCs/>
          <w:i/>
          <w:iCs/>
          <w:sz w:val="22"/>
          <w:szCs w:val="22"/>
        </w:rPr>
        <w:t xml:space="preserve"> MA </w:t>
      </w:r>
      <w:proofErr w:type="spellStart"/>
      <w:r w:rsidRPr="00444B1E">
        <w:rPr>
          <w:b/>
          <w:bCs/>
          <w:i/>
          <w:iCs/>
          <w:sz w:val="22"/>
          <w:szCs w:val="22"/>
        </w:rPr>
        <w:t>Abul-Fadl</w:t>
      </w:r>
      <w:proofErr w:type="spellEnd"/>
      <w:r w:rsidRPr="00444B1E">
        <w:rPr>
          <w:b/>
          <w:bCs/>
          <w:i/>
          <w:iCs/>
          <w:sz w:val="22"/>
          <w:szCs w:val="22"/>
        </w:rPr>
        <w:t xml:space="preserve">, </w:t>
      </w:r>
      <w:proofErr w:type="spellStart"/>
      <w:r w:rsidRPr="00444B1E">
        <w:rPr>
          <w:b/>
          <w:bCs/>
          <w:i/>
          <w:iCs/>
          <w:sz w:val="22"/>
          <w:szCs w:val="22"/>
        </w:rPr>
        <w:t>Ehsane</w:t>
      </w:r>
      <w:proofErr w:type="spellEnd"/>
      <w:r w:rsidRPr="00444B1E">
        <w:rPr>
          <w:b/>
          <w:bCs/>
          <w:i/>
          <w:iCs/>
          <w:sz w:val="22"/>
          <w:szCs w:val="22"/>
        </w:rPr>
        <w:t xml:space="preserve"> M. </w:t>
      </w:r>
      <w:proofErr w:type="spellStart"/>
      <w:r w:rsidRPr="00444B1E">
        <w:rPr>
          <w:b/>
          <w:bCs/>
          <w:i/>
          <w:iCs/>
          <w:sz w:val="22"/>
          <w:szCs w:val="22"/>
        </w:rPr>
        <w:t>Fahmy</w:t>
      </w:r>
      <w:proofErr w:type="spellEnd"/>
      <w:r w:rsidRPr="00444B1E">
        <w:rPr>
          <w:b/>
          <w:bCs/>
          <w:i/>
          <w:iCs/>
          <w:sz w:val="22"/>
          <w:szCs w:val="22"/>
        </w:rPr>
        <w:t>, Ibrahim El-</w:t>
      </w:r>
      <w:proofErr w:type="spellStart"/>
      <w:r w:rsidRPr="00444B1E">
        <w:rPr>
          <w:b/>
          <w:bCs/>
          <w:i/>
          <w:iCs/>
          <w:sz w:val="22"/>
          <w:szCs w:val="22"/>
        </w:rPr>
        <w:t>Kerdany</w:t>
      </w:r>
      <w:proofErr w:type="spellEnd"/>
    </w:p>
    <w:p w:rsidR="00AB79DD" w:rsidRDefault="00AB79DD" w:rsidP="00AB79DD">
      <w:pPr>
        <w:spacing w:line="288" w:lineRule="auto"/>
        <w:jc w:val="lowKashida"/>
        <w:rPr>
          <w:rFonts w:asciiTheme="majorBidi" w:eastAsia="Calibri" w:hAnsiTheme="majorBidi" w:cstheme="majorBidi"/>
          <w:i/>
          <w:iCs/>
          <w:sz w:val="22"/>
          <w:szCs w:val="22"/>
        </w:rPr>
      </w:pPr>
      <w:r w:rsidRPr="00CE1C8A">
        <w:rPr>
          <w:rFonts w:asciiTheme="majorBidi" w:eastAsia="Calibri" w:hAnsiTheme="majorBidi" w:cstheme="majorBidi"/>
          <w:i/>
          <w:iCs/>
          <w:sz w:val="22"/>
          <w:szCs w:val="22"/>
        </w:rPr>
        <w:t xml:space="preserve">Pediatric department, </w:t>
      </w:r>
      <w:proofErr w:type="spellStart"/>
      <w:r w:rsidRPr="00CE1C8A">
        <w:rPr>
          <w:rFonts w:asciiTheme="majorBidi" w:eastAsia="Calibri" w:hAnsiTheme="majorBidi" w:cstheme="majorBidi"/>
          <w:i/>
          <w:iCs/>
          <w:sz w:val="22"/>
          <w:szCs w:val="22"/>
        </w:rPr>
        <w:t>Benha</w:t>
      </w:r>
      <w:proofErr w:type="spellEnd"/>
      <w:r w:rsidRPr="00CE1C8A">
        <w:rPr>
          <w:rFonts w:asciiTheme="majorBidi" w:eastAsia="Calibri" w:hAnsiTheme="majorBidi" w:cstheme="majorBidi"/>
          <w:i/>
          <w:iCs/>
          <w:sz w:val="22"/>
          <w:szCs w:val="22"/>
        </w:rPr>
        <w:t xml:space="preserve"> Faculty of Medicine, </w:t>
      </w:r>
      <w:proofErr w:type="spellStart"/>
      <w:r w:rsidRPr="00CE1C8A">
        <w:rPr>
          <w:rFonts w:asciiTheme="majorBidi" w:eastAsia="Calibri" w:hAnsiTheme="majorBidi" w:cstheme="majorBidi"/>
          <w:i/>
          <w:iCs/>
          <w:sz w:val="22"/>
          <w:szCs w:val="22"/>
        </w:rPr>
        <w:t>Benha</w:t>
      </w:r>
      <w:proofErr w:type="spellEnd"/>
      <w:r w:rsidRPr="00CE1C8A">
        <w:rPr>
          <w:rFonts w:asciiTheme="majorBidi" w:eastAsia="Calibri" w:hAnsiTheme="majorBidi" w:cstheme="majorBidi"/>
          <w:i/>
          <w:iCs/>
          <w:sz w:val="22"/>
          <w:szCs w:val="22"/>
        </w:rPr>
        <w:t xml:space="preserve"> University</w:t>
      </w:r>
    </w:p>
    <w:p w:rsidR="00AB79DD" w:rsidRDefault="00AB79DD" w:rsidP="00AB79DD">
      <w:pPr>
        <w:spacing w:line="288" w:lineRule="auto"/>
        <w:jc w:val="lowKashida"/>
        <w:rPr>
          <w:rFonts w:asciiTheme="majorBidi" w:eastAsia="Calibri" w:hAnsiTheme="majorBidi" w:cstheme="majorBidi"/>
          <w:i/>
          <w:iCs/>
          <w:sz w:val="22"/>
          <w:szCs w:val="22"/>
        </w:rPr>
      </w:pPr>
      <w:r>
        <w:rPr>
          <w:rFonts w:asciiTheme="majorBidi" w:eastAsia="Calibri" w:hAnsiTheme="majorBidi" w:cstheme="majorBidi"/>
          <w:i/>
          <w:iCs/>
          <w:sz w:val="22"/>
          <w:szCs w:val="22"/>
        </w:rPr>
        <w:t>Neuropsychiatry</w:t>
      </w:r>
      <w:r w:rsidRPr="00CE1C8A">
        <w:rPr>
          <w:rFonts w:asciiTheme="majorBidi" w:eastAsia="Calibri" w:hAnsiTheme="majorBidi" w:cstheme="majorBidi"/>
          <w:i/>
          <w:iCs/>
          <w:sz w:val="22"/>
          <w:szCs w:val="22"/>
        </w:rPr>
        <w:t xml:space="preserve"> department, </w:t>
      </w:r>
      <w:proofErr w:type="spellStart"/>
      <w:r w:rsidRPr="00CE1C8A">
        <w:rPr>
          <w:rFonts w:asciiTheme="majorBidi" w:eastAsia="Calibri" w:hAnsiTheme="majorBidi" w:cstheme="majorBidi"/>
          <w:i/>
          <w:iCs/>
          <w:sz w:val="22"/>
          <w:szCs w:val="22"/>
        </w:rPr>
        <w:t>Benha</w:t>
      </w:r>
      <w:proofErr w:type="spellEnd"/>
      <w:r w:rsidRPr="00CE1C8A">
        <w:rPr>
          <w:rFonts w:asciiTheme="majorBidi" w:eastAsia="Calibri" w:hAnsiTheme="majorBidi" w:cstheme="majorBidi"/>
          <w:i/>
          <w:iCs/>
          <w:sz w:val="22"/>
          <w:szCs w:val="22"/>
        </w:rPr>
        <w:t xml:space="preserve"> Faculty of Medicine, </w:t>
      </w:r>
      <w:proofErr w:type="spellStart"/>
      <w:r w:rsidRPr="00CE1C8A">
        <w:rPr>
          <w:rFonts w:asciiTheme="majorBidi" w:eastAsia="Calibri" w:hAnsiTheme="majorBidi" w:cstheme="majorBidi"/>
          <w:i/>
          <w:iCs/>
          <w:sz w:val="22"/>
          <w:szCs w:val="22"/>
        </w:rPr>
        <w:t>Benha</w:t>
      </w:r>
      <w:proofErr w:type="spellEnd"/>
      <w:r w:rsidRPr="00CE1C8A">
        <w:rPr>
          <w:rFonts w:asciiTheme="majorBidi" w:eastAsia="Calibri" w:hAnsiTheme="majorBidi" w:cstheme="majorBidi"/>
          <w:i/>
          <w:iCs/>
          <w:sz w:val="22"/>
          <w:szCs w:val="22"/>
        </w:rPr>
        <w:t xml:space="preserve"> University</w:t>
      </w:r>
    </w:p>
    <w:p w:rsidR="00AB79DD" w:rsidRDefault="00AB79DD" w:rsidP="00AB79DD">
      <w:pPr>
        <w:spacing w:line="288" w:lineRule="auto"/>
        <w:jc w:val="lowKashida"/>
        <w:rPr>
          <w:rFonts w:asciiTheme="majorBidi" w:eastAsia="Calibri" w:hAnsiTheme="majorBidi" w:cstheme="majorBidi"/>
          <w:i/>
          <w:iCs/>
          <w:sz w:val="22"/>
          <w:szCs w:val="22"/>
        </w:rPr>
      </w:pPr>
      <w:r>
        <w:rPr>
          <w:rFonts w:asciiTheme="majorBidi" w:eastAsia="Calibri" w:hAnsiTheme="majorBidi" w:cstheme="majorBidi"/>
          <w:i/>
          <w:iCs/>
          <w:sz w:val="22"/>
          <w:szCs w:val="22"/>
        </w:rPr>
        <w:t>Mental health</w:t>
      </w:r>
      <w:r w:rsidRPr="00CE1C8A">
        <w:rPr>
          <w:rFonts w:asciiTheme="majorBidi" w:eastAsia="Calibri" w:hAnsiTheme="majorBidi" w:cstheme="majorBidi"/>
          <w:i/>
          <w:iCs/>
          <w:sz w:val="22"/>
          <w:szCs w:val="22"/>
        </w:rPr>
        <w:t xml:space="preserve"> </w:t>
      </w:r>
      <w:r>
        <w:rPr>
          <w:rFonts w:asciiTheme="majorBidi" w:eastAsia="Calibri" w:hAnsiTheme="majorBidi" w:cstheme="majorBidi"/>
          <w:i/>
          <w:iCs/>
          <w:sz w:val="22"/>
          <w:szCs w:val="22"/>
        </w:rPr>
        <w:t>unit</w:t>
      </w:r>
      <w:r w:rsidRPr="00CE1C8A">
        <w:rPr>
          <w:rFonts w:asciiTheme="majorBidi" w:eastAsia="Calibri" w:hAnsiTheme="majorBidi" w:cstheme="majorBidi"/>
          <w:i/>
          <w:iCs/>
          <w:sz w:val="22"/>
          <w:szCs w:val="22"/>
        </w:rPr>
        <w:t xml:space="preserve">, </w:t>
      </w:r>
      <w:r>
        <w:rPr>
          <w:rFonts w:asciiTheme="majorBidi" w:eastAsia="Calibri" w:hAnsiTheme="majorBidi" w:cstheme="majorBidi"/>
          <w:i/>
          <w:iCs/>
          <w:sz w:val="22"/>
          <w:szCs w:val="22"/>
        </w:rPr>
        <w:t>High Institute of Public Health</w:t>
      </w:r>
      <w:r w:rsidRPr="00CE1C8A">
        <w:rPr>
          <w:rFonts w:asciiTheme="majorBidi" w:eastAsia="Calibri" w:hAnsiTheme="majorBidi" w:cstheme="majorBidi"/>
          <w:i/>
          <w:iCs/>
          <w:sz w:val="22"/>
          <w:szCs w:val="22"/>
        </w:rPr>
        <w:t xml:space="preserve">, </w:t>
      </w:r>
      <w:r>
        <w:rPr>
          <w:rFonts w:asciiTheme="majorBidi" w:eastAsia="Calibri" w:hAnsiTheme="majorBidi" w:cstheme="majorBidi"/>
          <w:i/>
          <w:iCs/>
          <w:sz w:val="22"/>
          <w:szCs w:val="22"/>
        </w:rPr>
        <w:t>Alexandria</w:t>
      </w:r>
      <w:r w:rsidRPr="00CE1C8A">
        <w:rPr>
          <w:rFonts w:asciiTheme="majorBidi" w:eastAsia="Calibri" w:hAnsiTheme="majorBidi" w:cstheme="majorBidi"/>
          <w:i/>
          <w:iCs/>
          <w:sz w:val="22"/>
          <w:szCs w:val="22"/>
        </w:rPr>
        <w:t xml:space="preserve"> University</w:t>
      </w:r>
    </w:p>
    <w:p w:rsidR="00AB79DD" w:rsidRPr="00551C4E" w:rsidRDefault="00AB79DD" w:rsidP="00AB79DD">
      <w:pPr>
        <w:spacing w:before="120" w:after="120" w:line="288" w:lineRule="auto"/>
        <w:jc w:val="lowKashida"/>
        <w:rPr>
          <w:rFonts w:asciiTheme="majorBidi" w:eastAsia="Calibri" w:hAnsiTheme="majorBidi" w:cstheme="majorBidi"/>
          <w:b/>
          <w:bCs/>
        </w:rPr>
      </w:pPr>
      <w:r w:rsidRPr="00551C4E">
        <w:rPr>
          <w:rFonts w:asciiTheme="majorBidi" w:eastAsia="Calibri" w:hAnsiTheme="majorBidi" w:cstheme="majorBidi"/>
          <w:b/>
          <w:bCs/>
        </w:rPr>
        <w:t>Abstract</w:t>
      </w:r>
    </w:p>
    <w:p w:rsidR="00AB79DD" w:rsidRPr="00213F11" w:rsidRDefault="00AB79DD" w:rsidP="00AB79DD">
      <w:pPr>
        <w:spacing w:before="120" w:after="120" w:line="276" w:lineRule="auto"/>
        <w:jc w:val="lowKashida"/>
        <w:rPr>
          <w:rFonts w:asciiTheme="majorBidi" w:eastAsia="Calibri" w:hAnsiTheme="majorBidi" w:cstheme="majorBidi"/>
          <w:b/>
          <w:bCs/>
          <w:sz w:val="22"/>
          <w:szCs w:val="22"/>
        </w:rPr>
      </w:pPr>
      <w:r w:rsidRPr="00213F11">
        <w:rPr>
          <w:rFonts w:asciiTheme="majorBidi" w:eastAsia="Calibri" w:hAnsiTheme="majorBidi" w:cstheme="majorBidi"/>
          <w:b/>
          <w:bCs/>
          <w:sz w:val="22"/>
          <w:szCs w:val="22"/>
        </w:rPr>
        <w:t xml:space="preserve">Background: </w:t>
      </w:r>
      <w:r w:rsidRPr="00213F11">
        <w:rPr>
          <w:sz w:val="22"/>
          <w:szCs w:val="22"/>
        </w:rPr>
        <w:t>The extent to which domestic violence influences the population growth problem is an issue that has been marginalized. The extent to which this is linked to the health status of mothers is examined.</w:t>
      </w:r>
    </w:p>
    <w:p w:rsidR="00AB79DD" w:rsidRPr="00213F11" w:rsidRDefault="00AB79DD" w:rsidP="00AB79DD">
      <w:pPr>
        <w:spacing w:before="120" w:after="120" w:line="276" w:lineRule="auto"/>
        <w:jc w:val="lowKashida"/>
        <w:rPr>
          <w:rFonts w:asciiTheme="majorBidi" w:eastAsia="Calibri" w:hAnsiTheme="majorBidi" w:cstheme="majorBidi"/>
          <w:b/>
          <w:bCs/>
          <w:sz w:val="22"/>
          <w:szCs w:val="22"/>
        </w:rPr>
      </w:pPr>
      <w:r w:rsidRPr="00213F11">
        <w:rPr>
          <w:rFonts w:asciiTheme="majorBidi" w:eastAsia="Calibri" w:hAnsiTheme="majorBidi" w:cstheme="majorBidi"/>
          <w:b/>
          <w:bCs/>
          <w:sz w:val="22"/>
          <w:szCs w:val="22"/>
        </w:rPr>
        <w:t xml:space="preserve">Aim: </w:t>
      </w:r>
      <w:r>
        <w:rPr>
          <w:sz w:val="22"/>
          <w:szCs w:val="22"/>
        </w:rPr>
        <w:t>To study</w:t>
      </w:r>
      <w:r w:rsidRPr="00213F11">
        <w:rPr>
          <w:sz w:val="22"/>
          <w:szCs w:val="22"/>
        </w:rPr>
        <w:t xml:space="preserve"> the </w:t>
      </w:r>
      <w:r>
        <w:rPr>
          <w:sz w:val="22"/>
          <w:szCs w:val="22"/>
        </w:rPr>
        <w:t>relationship between birth spacing and</w:t>
      </w:r>
      <w:r w:rsidRPr="00213F11">
        <w:rPr>
          <w:sz w:val="22"/>
          <w:szCs w:val="22"/>
        </w:rPr>
        <w:t xml:space="preserve"> domestic violence against women</w:t>
      </w:r>
      <w:r>
        <w:rPr>
          <w:sz w:val="22"/>
          <w:szCs w:val="22"/>
        </w:rPr>
        <w:t xml:space="preserve"> (DVW)</w:t>
      </w:r>
      <w:r w:rsidRPr="00213F11">
        <w:rPr>
          <w:sz w:val="22"/>
          <w:szCs w:val="22"/>
        </w:rPr>
        <w:t xml:space="preserve"> and the tradition of circumcision</w:t>
      </w:r>
      <w:r>
        <w:rPr>
          <w:sz w:val="22"/>
          <w:szCs w:val="22"/>
        </w:rPr>
        <w:t xml:space="preserve"> and their outcome on women health</w:t>
      </w:r>
      <w:r w:rsidRPr="00213F11">
        <w:rPr>
          <w:sz w:val="22"/>
          <w:szCs w:val="22"/>
        </w:rPr>
        <w:t>.</w:t>
      </w:r>
    </w:p>
    <w:p w:rsidR="00AB79DD" w:rsidRPr="00213F11" w:rsidRDefault="00AB79DD" w:rsidP="00AB79DD">
      <w:pPr>
        <w:spacing w:before="120" w:after="120" w:line="276" w:lineRule="auto"/>
        <w:jc w:val="lowKashida"/>
        <w:rPr>
          <w:sz w:val="22"/>
          <w:szCs w:val="22"/>
        </w:rPr>
      </w:pPr>
      <w:r w:rsidRPr="00213F11">
        <w:rPr>
          <w:rFonts w:asciiTheme="majorBidi" w:eastAsia="Calibri" w:hAnsiTheme="majorBidi" w:cstheme="majorBidi"/>
          <w:b/>
          <w:bCs/>
          <w:sz w:val="22"/>
          <w:szCs w:val="22"/>
        </w:rPr>
        <w:t xml:space="preserve">Methods: </w:t>
      </w:r>
      <w:r w:rsidRPr="00213F11">
        <w:rPr>
          <w:sz w:val="22"/>
          <w:szCs w:val="22"/>
        </w:rPr>
        <w:t xml:space="preserve">Data was retrieved from the Egypt demographic health survey of 2014. Data for 25 governorates in Egypt including 4 Urban, 12 in Lower Egypt (LE), 8 in Upper Egypt (UE) and 3 Frontier governorates. Data included justified reason for hitting or beating by the husband for refusal to have sex, arguing, not taking permission to go out, burning food or neglect of children. Other data included obesity, anemia, prevalence of circumcision and mother’s intention to circumcise her daughter, attitudes towards circumcision and husband preferences. </w:t>
      </w:r>
      <w:r w:rsidRPr="00213F11">
        <w:rPr>
          <w:rFonts w:asciiTheme="majorBidi" w:hAnsiTheme="majorBidi" w:cstheme="majorBidi"/>
          <w:sz w:val="22"/>
          <w:szCs w:val="22"/>
        </w:rPr>
        <w:t xml:space="preserve">Health status of women was assessed by obesity and anemia. </w:t>
      </w:r>
      <w:r w:rsidRPr="00213F11">
        <w:rPr>
          <w:sz w:val="22"/>
          <w:szCs w:val="22"/>
        </w:rPr>
        <w:t>The data was statistically analyzed using Pearson’s correlation coefficient by the SSPS software (20).</w:t>
      </w:r>
    </w:p>
    <w:p w:rsidR="00AB79DD" w:rsidRPr="00213F11" w:rsidRDefault="00AB79DD" w:rsidP="00AB79DD">
      <w:pPr>
        <w:spacing w:before="120" w:after="120" w:line="276" w:lineRule="auto"/>
        <w:jc w:val="lowKashida"/>
        <w:rPr>
          <w:rFonts w:asciiTheme="majorBidi" w:eastAsia="Calibri" w:hAnsiTheme="majorBidi" w:cstheme="majorBidi"/>
          <w:b/>
          <w:bCs/>
          <w:sz w:val="22"/>
          <w:szCs w:val="22"/>
        </w:rPr>
      </w:pPr>
      <w:r w:rsidRPr="00213F11">
        <w:rPr>
          <w:rFonts w:asciiTheme="majorBidi" w:eastAsia="Calibri" w:hAnsiTheme="majorBidi" w:cstheme="majorBidi"/>
          <w:b/>
          <w:bCs/>
          <w:sz w:val="22"/>
          <w:szCs w:val="22"/>
        </w:rPr>
        <w:t xml:space="preserve">Results: </w:t>
      </w:r>
      <w:r w:rsidRPr="00213F11">
        <w:rPr>
          <w:bCs/>
          <w:sz w:val="22"/>
          <w:szCs w:val="22"/>
        </w:rPr>
        <w:t>The most common reason for beating was going out without telling husband which was highest in UE govern</w:t>
      </w:r>
      <w:r>
        <w:rPr>
          <w:bCs/>
          <w:sz w:val="22"/>
          <w:szCs w:val="22"/>
        </w:rPr>
        <w:t>or</w:t>
      </w:r>
      <w:r w:rsidRPr="00213F11">
        <w:rPr>
          <w:bCs/>
          <w:sz w:val="22"/>
          <w:szCs w:val="22"/>
        </w:rPr>
        <w:t xml:space="preserve">ates. Beating for refusing to have sex was highest UE governorates ranging from 59.4% in </w:t>
      </w:r>
      <w:proofErr w:type="spellStart"/>
      <w:r w:rsidRPr="00213F11">
        <w:rPr>
          <w:bCs/>
          <w:sz w:val="22"/>
          <w:szCs w:val="22"/>
        </w:rPr>
        <w:t>Qena</w:t>
      </w:r>
      <w:proofErr w:type="spellEnd"/>
      <w:r w:rsidRPr="00213F11">
        <w:rPr>
          <w:bCs/>
          <w:sz w:val="22"/>
          <w:szCs w:val="22"/>
        </w:rPr>
        <w:t xml:space="preserve"> to 9.8% in Giza. </w:t>
      </w:r>
      <w:r w:rsidRPr="00213F11">
        <w:rPr>
          <w:rFonts w:asciiTheme="majorBidi" w:hAnsiTheme="majorBidi" w:cstheme="majorBidi"/>
          <w:sz w:val="22"/>
          <w:szCs w:val="22"/>
        </w:rPr>
        <w:t xml:space="preserve">Demand for family planning was inversely correlated with all the reasons for </w:t>
      </w:r>
      <w:r>
        <w:rPr>
          <w:rFonts w:asciiTheme="majorBidi" w:hAnsiTheme="majorBidi" w:cstheme="majorBidi"/>
          <w:sz w:val="22"/>
          <w:szCs w:val="22"/>
        </w:rPr>
        <w:t>DVW</w:t>
      </w:r>
      <w:r w:rsidRPr="00213F11">
        <w:rPr>
          <w:rFonts w:asciiTheme="majorBidi" w:hAnsiTheme="majorBidi" w:cstheme="majorBidi"/>
          <w:sz w:val="22"/>
          <w:szCs w:val="22"/>
        </w:rPr>
        <w:t xml:space="preserve"> (P&lt;0.01) but not birth spacing. Women whose daughters were circumcised correlated positively with birth spacing and negatively with family planning. Obesity correlated with demand for family planning (r0.6) and negatively with </w:t>
      </w:r>
      <w:r>
        <w:rPr>
          <w:rFonts w:asciiTheme="majorBidi" w:hAnsiTheme="majorBidi" w:cstheme="majorBidi"/>
          <w:sz w:val="22"/>
          <w:szCs w:val="22"/>
        </w:rPr>
        <w:t>DVW</w:t>
      </w:r>
      <w:r w:rsidRPr="00213F11">
        <w:rPr>
          <w:rFonts w:asciiTheme="majorBidi" w:hAnsiTheme="majorBidi" w:cstheme="majorBidi"/>
          <w:sz w:val="22"/>
          <w:szCs w:val="22"/>
        </w:rPr>
        <w:t xml:space="preserve"> related to refusal to have sex (r-0.7) and beating due to any of the reasons mentioned (r-0.7) at P&lt;0.001 but not with anemia</w:t>
      </w:r>
      <w:r>
        <w:rPr>
          <w:rFonts w:asciiTheme="majorBidi" w:hAnsiTheme="majorBidi" w:cstheme="majorBidi"/>
          <w:sz w:val="22"/>
          <w:szCs w:val="22"/>
        </w:rPr>
        <w:t xml:space="preserve"> among pregnant women</w:t>
      </w:r>
      <w:r w:rsidRPr="00213F11">
        <w:rPr>
          <w:rFonts w:asciiTheme="majorBidi" w:hAnsiTheme="majorBidi" w:cstheme="majorBidi"/>
          <w:sz w:val="22"/>
          <w:szCs w:val="22"/>
        </w:rPr>
        <w:t xml:space="preserve">. </w:t>
      </w:r>
    </w:p>
    <w:p w:rsidR="00AB79DD" w:rsidRDefault="00AB79DD" w:rsidP="00AB79DD">
      <w:pPr>
        <w:spacing w:before="120" w:after="120" w:line="276" w:lineRule="auto"/>
        <w:jc w:val="lowKashida"/>
        <w:rPr>
          <w:rFonts w:asciiTheme="majorBidi" w:hAnsiTheme="majorBidi" w:cstheme="majorBidi"/>
          <w:sz w:val="22"/>
          <w:szCs w:val="22"/>
        </w:rPr>
      </w:pPr>
      <w:r w:rsidRPr="00213F11">
        <w:rPr>
          <w:rFonts w:asciiTheme="majorBidi" w:eastAsia="Calibri" w:hAnsiTheme="majorBidi" w:cstheme="majorBidi"/>
          <w:b/>
          <w:bCs/>
          <w:sz w:val="22"/>
          <w:szCs w:val="22"/>
        </w:rPr>
        <w:t xml:space="preserve">Conclusions: </w:t>
      </w:r>
      <w:r w:rsidRPr="00213F11">
        <w:rPr>
          <w:rFonts w:asciiTheme="majorBidi" w:hAnsiTheme="majorBidi" w:cstheme="majorBidi"/>
          <w:sz w:val="22"/>
          <w:szCs w:val="22"/>
        </w:rPr>
        <w:t xml:space="preserve">Demand for family planning is inversely associated with </w:t>
      </w:r>
      <w:r>
        <w:rPr>
          <w:rFonts w:asciiTheme="majorBidi" w:hAnsiTheme="majorBidi" w:cstheme="majorBidi"/>
          <w:sz w:val="22"/>
          <w:szCs w:val="22"/>
        </w:rPr>
        <w:t>DVW</w:t>
      </w:r>
      <w:r w:rsidRPr="00213F11">
        <w:rPr>
          <w:rFonts w:asciiTheme="majorBidi" w:hAnsiTheme="majorBidi" w:cstheme="majorBidi"/>
          <w:sz w:val="22"/>
          <w:szCs w:val="22"/>
        </w:rPr>
        <w:t xml:space="preserve"> female circumcision but </w:t>
      </w:r>
      <w:r>
        <w:rPr>
          <w:rFonts w:asciiTheme="majorBidi" w:hAnsiTheme="majorBidi" w:cstheme="majorBidi"/>
          <w:sz w:val="22"/>
          <w:szCs w:val="22"/>
        </w:rPr>
        <w:t xml:space="preserve">correlated </w:t>
      </w:r>
      <w:r w:rsidRPr="00213F11">
        <w:rPr>
          <w:rFonts w:asciiTheme="majorBidi" w:hAnsiTheme="majorBidi" w:cstheme="majorBidi"/>
          <w:sz w:val="22"/>
          <w:szCs w:val="22"/>
        </w:rPr>
        <w:t xml:space="preserve">positively with obesity. </w:t>
      </w:r>
      <w:r>
        <w:rPr>
          <w:rFonts w:asciiTheme="majorBidi" w:hAnsiTheme="majorBidi" w:cstheme="majorBidi"/>
          <w:sz w:val="22"/>
          <w:szCs w:val="22"/>
        </w:rPr>
        <w:t>Abating DVW can have positive effects on family planning and improve women’s health.</w:t>
      </w:r>
    </w:p>
    <w:p w:rsidR="00AB79DD" w:rsidRDefault="00AB79DD" w:rsidP="00AB79DD">
      <w:pPr>
        <w:spacing w:before="120" w:after="120" w:line="276" w:lineRule="auto"/>
        <w:jc w:val="lowKashida"/>
        <w:rPr>
          <w:rFonts w:asciiTheme="majorBidi" w:eastAsia="Calibri" w:hAnsiTheme="majorBidi" w:cstheme="majorBidi"/>
          <w:b/>
          <w:bCs/>
        </w:rPr>
        <w:sectPr w:rsidR="00AB79DD" w:rsidSect="00AB79DD">
          <w:pgSz w:w="11907" w:h="16840" w:code="9"/>
          <w:pgMar w:top="1440" w:right="1440" w:bottom="1440" w:left="1440" w:header="709" w:footer="851" w:gutter="0"/>
          <w:cols w:space="425"/>
          <w:rtlGutter/>
          <w:docGrid w:linePitch="360"/>
        </w:sectPr>
      </w:pPr>
    </w:p>
    <w:p w:rsidR="00AB79DD" w:rsidRPr="00551C4E" w:rsidRDefault="00AB79DD" w:rsidP="00AB79DD">
      <w:pPr>
        <w:pBdr>
          <w:bottom w:val="single" w:sz="12" w:space="1" w:color="auto"/>
        </w:pBdr>
        <w:spacing w:before="120" w:after="120" w:line="276" w:lineRule="auto"/>
        <w:jc w:val="lowKashida"/>
        <w:rPr>
          <w:rFonts w:asciiTheme="majorBidi" w:eastAsia="Calibri" w:hAnsiTheme="majorBidi" w:cstheme="majorBidi"/>
          <w:b/>
          <w:bCs/>
        </w:rPr>
      </w:pPr>
    </w:p>
    <w:p w:rsidR="00AB79DD" w:rsidRDefault="00AB79DD" w:rsidP="00AB79DD">
      <w:pPr>
        <w:spacing w:before="120" w:after="120" w:line="276" w:lineRule="auto"/>
        <w:jc w:val="lowKashida"/>
        <w:rPr>
          <w:rFonts w:asciiTheme="majorBidi" w:eastAsia="Calibri" w:hAnsiTheme="majorBidi" w:cstheme="majorBidi"/>
          <w:b/>
          <w:bCs/>
        </w:rPr>
        <w:sectPr w:rsidR="00AB79DD" w:rsidSect="008B3E03">
          <w:type w:val="continuous"/>
          <w:pgSz w:w="11907" w:h="16840" w:code="9"/>
          <w:pgMar w:top="1440" w:right="1440" w:bottom="1440" w:left="1440" w:header="709" w:footer="851" w:gutter="0"/>
          <w:cols w:num="2" w:space="425"/>
          <w:rtlGutter/>
          <w:docGrid w:linePitch="360"/>
        </w:sectPr>
      </w:pPr>
    </w:p>
    <w:p w:rsidR="00AB79DD" w:rsidRPr="00551C4E" w:rsidRDefault="00AB79DD" w:rsidP="00AB79DD">
      <w:pPr>
        <w:spacing w:before="120" w:after="120" w:line="276" w:lineRule="auto"/>
        <w:jc w:val="lowKashida"/>
        <w:rPr>
          <w:rFonts w:asciiTheme="majorBidi" w:eastAsia="Calibri" w:hAnsiTheme="majorBidi" w:cstheme="majorBidi"/>
          <w:b/>
          <w:bCs/>
        </w:rPr>
      </w:pPr>
      <w:r w:rsidRPr="00551C4E">
        <w:rPr>
          <w:rFonts w:asciiTheme="majorBidi" w:eastAsia="Calibri" w:hAnsiTheme="majorBidi" w:cstheme="majorBidi"/>
          <w:b/>
          <w:bCs/>
        </w:rPr>
        <w:lastRenderedPageBreak/>
        <w:t>Introduction</w:t>
      </w:r>
    </w:p>
    <w:p w:rsidR="00AB79DD" w:rsidRDefault="00AB79DD" w:rsidP="00AB79DD">
      <w:pPr>
        <w:spacing w:before="120" w:after="120" w:line="360" w:lineRule="auto"/>
        <w:jc w:val="lowKashida"/>
        <w:sectPr w:rsidR="00AB79DD" w:rsidSect="00213F11">
          <w:type w:val="continuous"/>
          <w:pgSz w:w="11907" w:h="16840" w:code="9"/>
          <w:pgMar w:top="1440" w:right="1440" w:bottom="1440" w:left="1440" w:header="709" w:footer="851" w:gutter="0"/>
          <w:cols w:space="425"/>
          <w:rtlGutter/>
          <w:docGrid w:linePitch="360"/>
        </w:sectPr>
      </w:pPr>
    </w:p>
    <w:p w:rsidR="00AB79DD" w:rsidRPr="00213F11" w:rsidRDefault="00AB79DD" w:rsidP="00AB79DD">
      <w:pPr>
        <w:spacing w:before="120" w:after="120" w:line="360" w:lineRule="auto"/>
        <w:jc w:val="lowKashida"/>
        <w:rPr>
          <w:sz w:val="22"/>
          <w:szCs w:val="22"/>
        </w:rPr>
      </w:pPr>
      <w:r w:rsidRPr="00213F11">
        <w:rPr>
          <w:sz w:val="22"/>
          <w:szCs w:val="22"/>
        </w:rPr>
        <w:lastRenderedPageBreak/>
        <w:t>Domestic violence against women</w:t>
      </w:r>
      <w:r>
        <w:rPr>
          <w:sz w:val="22"/>
          <w:szCs w:val="22"/>
        </w:rPr>
        <w:t xml:space="preserve"> (DVW)</w:t>
      </w:r>
      <w:r w:rsidRPr="00213F11">
        <w:rPr>
          <w:sz w:val="22"/>
          <w:szCs w:val="22"/>
        </w:rPr>
        <w:t xml:space="preserve"> is a global problem. However it is influenced by traditional, cultural, socioeconomic and geographic factors. The extent to which domestic violence influences the population growth problem is an issue that has been </w:t>
      </w:r>
      <w:r w:rsidRPr="00213F11">
        <w:rPr>
          <w:sz w:val="22"/>
          <w:szCs w:val="22"/>
        </w:rPr>
        <w:lastRenderedPageBreak/>
        <w:t>marginalized. The World Health Organization</w:t>
      </w:r>
      <w:r>
        <w:rPr>
          <w:sz w:val="22"/>
          <w:szCs w:val="22"/>
        </w:rPr>
        <w:t xml:space="preserve"> (WHO)</w:t>
      </w:r>
      <w:r w:rsidRPr="00213F11">
        <w:rPr>
          <w:sz w:val="22"/>
          <w:szCs w:val="22"/>
        </w:rPr>
        <w:t xml:space="preserve"> defines violence (2) as: The intentional use of physical force or power, threatened or actual, against oneself, another person, or against a group or </w:t>
      </w:r>
      <w:proofErr w:type="gramStart"/>
      <w:r w:rsidRPr="00213F11">
        <w:rPr>
          <w:sz w:val="22"/>
          <w:szCs w:val="22"/>
        </w:rPr>
        <w:t>community</w:t>
      </w:r>
      <w:r>
        <w:rPr>
          <w:sz w:val="22"/>
          <w:szCs w:val="22"/>
        </w:rPr>
        <w:t>,</w:t>
      </w:r>
      <w:r w:rsidRPr="00213F11">
        <w:rPr>
          <w:sz w:val="22"/>
          <w:szCs w:val="22"/>
        </w:rPr>
        <w:t xml:space="preserve"> that</w:t>
      </w:r>
      <w:proofErr w:type="gramEnd"/>
      <w:r w:rsidRPr="00213F11">
        <w:rPr>
          <w:sz w:val="22"/>
          <w:szCs w:val="22"/>
        </w:rPr>
        <w:t xml:space="preserve"> either results in or has a high likelihood of resulting in injury, </w:t>
      </w:r>
      <w:r w:rsidRPr="00213F11">
        <w:rPr>
          <w:sz w:val="22"/>
          <w:szCs w:val="22"/>
        </w:rPr>
        <w:lastRenderedPageBreak/>
        <w:t xml:space="preserve">death, psychological harm, </w:t>
      </w:r>
      <w:proofErr w:type="spellStart"/>
      <w:r w:rsidRPr="00213F11">
        <w:rPr>
          <w:sz w:val="22"/>
          <w:szCs w:val="22"/>
        </w:rPr>
        <w:t>maldevelopment</w:t>
      </w:r>
      <w:proofErr w:type="spellEnd"/>
      <w:r w:rsidRPr="00213F11">
        <w:rPr>
          <w:sz w:val="22"/>
          <w:szCs w:val="22"/>
        </w:rPr>
        <w:t xml:space="preserve"> or deprivation</w:t>
      </w:r>
      <w:r>
        <w:rPr>
          <w:sz w:val="22"/>
          <w:szCs w:val="22"/>
        </w:rPr>
        <w:t xml:space="preserve"> </w:t>
      </w:r>
      <w:r w:rsidRPr="00562E20">
        <w:rPr>
          <w:b/>
          <w:bCs/>
          <w:sz w:val="22"/>
          <w:szCs w:val="22"/>
          <w:vertAlign w:val="superscript"/>
        </w:rPr>
        <w:t>(1)</w:t>
      </w:r>
      <w:r>
        <w:rPr>
          <w:sz w:val="22"/>
          <w:szCs w:val="22"/>
        </w:rPr>
        <w:t>.</w:t>
      </w:r>
    </w:p>
    <w:p w:rsidR="00AB79DD" w:rsidRPr="00213F11" w:rsidRDefault="00AB79DD" w:rsidP="00AB79DD">
      <w:pPr>
        <w:spacing w:before="120" w:after="120" w:line="360" w:lineRule="auto"/>
        <w:jc w:val="lowKashida"/>
        <w:rPr>
          <w:sz w:val="22"/>
          <w:szCs w:val="22"/>
        </w:rPr>
      </w:pPr>
      <w:r w:rsidRPr="00213F11">
        <w:rPr>
          <w:sz w:val="22"/>
          <w:szCs w:val="22"/>
        </w:rPr>
        <w:t xml:space="preserve">In its 1996 resolution WHA49.25, declaring violence a leading public health problem, the World Health Assembly called on the World Health Organization to develop a typology of violence that characterized the different types of violence and the links between them. Few typologies exist already and none is very comprehensive. The typology proposed here divides violence into three broad categories according to characteristics of those committing the violent act: — self-directed violence; — interpersonal violence; — collective violence. The nature of violent acts, which can be: — physical; — sexual; — psychological; — involving deprivation or neglect </w:t>
      </w:r>
      <w:r w:rsidRPr="00562E20">
        <w:rPr>
          <w:b/>
          <w:bCs/>
          <w:sz w:val="22"/>
          <w:szCs w:val="22"/>
          <w:vertAlign w:val="superscript"/>
        </w:rPr>
        <w:t>(</w:t>
      </w:r>
      <w:r>
        <w:rPr>
          <w:b/>
          <w:bCs/>
          <w:sz w:val="22"/>
          <w:szCs w:val="22"/>
          <w:vertAlign w:val="superscript"/>
        </w:rPr>
        <w:t>2</w:t>
      </w:r>
      <w:r w:rsidRPr="00562E20">
        <w:rPr>
          <w:b/>
          <w:bCs/>
          <w:sz w:val="22"/>
          <w:szCs w:val="22"/>
          <w:vertAlign w:val="superscript"/>
        </w:rPr>
        <w:t>)</w:t>
      </w:r>
      <w:r w:rsidRPr="00213F11">
        <w:rPr>
          <w:sz w:val="22"/>
          <w:szCs w:val="22"/>
        </w:rPr>
        <w:t>.</w:t>
      </w:r>
    </w:p>
    <w:p w:rsidR="00AB79DD" w:rsidRPr="00213F11" w:rsidRDefault="00AB79DD" w:rsidP="00AB79DD">
      <w:pPr>
        <w:spacing w:before="120" w:after="120" w:line="360" w:lineRule="auto"/>
        <w:jc w:val="lowKashida"/>
        <w:rPr>
          <w:sz w:val="22"/>
          <w:szCs w:val="22"/>
        </w:rPr>
      </w:pPr>
      <w:r w:rsidRPr="00213F11">
        <w:rPr>
          <w:sz w:val="22"/>
          <w:szCs w:val="22"/>
        </w:rPr>
        <w:t>A major obstacle is simply an absence of knowledge. For many decision-makers, the idea that violence is a public health problem is new – and indeed rather contrary to their belief that violence is a crime problem. This is particularly the case for the less visible forms of violence, such as abuse of children, women and the elderly. The notion that violence is preventable is also new or questionable for decision-makers</w:t>
      </w:r>
      <w:r>
        <w:rPr>
          <w:sz w:val="22"/>
          <w:szCs w:val="22"/>
        </w:rPr>
        <w:t xml:space="preserve"> </w:t>
      </w:r>
      <w:r w:rsidRPr="00562E20">
        <w:rPr>
          <w:b/>
          <w:bCs/>
          <w:sz w:val="22"/>
          <w:szCs w:val="22"/>
          <w:vertAlign w:val="superscript"/>
        </w:rPr>
        <w:t>(</w:t>
      </w:r>
      <w:r>
        <w:rPr>
          <w:b/>
          <w:bCs/>
          <w:sz w:val="22"/>
          <w:szCs w:val="22"/>
          <w:vertAlign w:val="superscript"/>
        </w:rPr>
        <w:t>3</w:t>
      </w:r>
      <w:r w:rsidRPr="00562E20">
        <w:rPr>
          <w:b/>
          <w:bCs/>
          <w:sz w:val="22"/>
          <w:szCs w:val="22"/>
          <w:vertAlign w:val="superscript"/>
        </w:rPr>
        <w:t>)</w:t>
      </w:r>
      <w:r w:rsidRPr="00213F11">
        <w:rPr>
          <w:sz w:val="22"/>
          <w:szCs w:val="22"/>
        </w:rPr>
        <w:t>.  In Egypt studies have focused on domestic violence against women (DVW) and female circumcision.</w:t>
      </w:r>
    </w:p>
    <w:p w:rsidR="00AB79DD" w:rsidRDefault="00AB79DD" w:rsidP="00AB79DD">
      <w:pPr>
        <w:spacing w:before="120" w:after="120" w:line="360" w:lineRule="auto"/>
        <w:jc w:val="lowKashida"/>
        <w:rPr>
          <w:sz w:val="22"/>
          <w:szCs w:val="22"/>
        </w:rPr>
      </w:pPr>
      <w:r w:rsidRPr="00213F11">
        <w:rPr>
          <w:sz w:val="22"/>
          <w:szCs w:val="22"/>
        </w:rPr>
        <w:t xml:space="preserve">Family planning is a major health issue for the Egyptian government. The total wanted fertility (2.8 births per woman) is lower than the total fertility rate (TFR) (3.5 births per woman) in 2014 with a rising trend from the 2008 EDHS (2.4 births per woman). According to the most recent DHS study six in ten currently married </w:t>
      </w:r>
      <w:r w:rsidRPr="00213F11">
        <w:rPr>
          <w:sz w:val="22"/>
          <w:szCs w:val="22"/>
        </w:rPr>
        <w:lastRenderedPageBreak/>
        <w:t>women do not want another birth or are sterilized, and 17 percent would like to delay the next birth for at least two years. The average married woman considers a three-child family to be ideal. More than one-fifth of married women believe their husband wants more children than they do</w:t>
      </w:r>
      <w:r>
        <w:rPr>
          <w:sz w:val="22"/>
          <w:szCs w:val="22"/>
        </w:rPr>
        <w:t xml:space="preserve"> </w:t>
      </w:r>
      <w:r w:rsidRPr="00562E20">
        <w:rPr>
          <w:b/>
          <w:bCs/>
          <w:sz w:val="22"/>
          <w:szCs w:val="22"/>
          <w:vertAlign w:val="superscript"/>
        </w:rPr>
        <w:t>(</w:t>
      </w:r>
      <w:r>
        <w:rPr>
          <w:b/>
          <w:bCs/>
          <w:sz w:val="22"/>
          <w:szCs w:val="22"/>
          <w:vertAlign w:val="superscript"/>
        </w:rPr>
        <w:t>4</w:t>
      </w:r>
      <w:r w:rsidRPr="00562E20">
        <w:rPr>
          <w:b/>
          <w:bCs/>
          <w:sz w:val="22"/>
          <w:szCs w:val="22"/>
          <w:vertAlign w:val="superscript"/>
        </w:rPr>
        <w:t>)</w:t>
      </w:r>
      <w:r w:rsidRPr="00213F11">
        <w:rPr>
          <w:sz w:val="22"/>
          <w:szCs w:val="22"/>
        </w:rPr>
        <w:t xml:space="preserve">. </w:t>
      </w:r>
    </w:p>
    <w:p w:rsidR="00AB79DD" w:rsidRPr="00213F11" w:rsidRDefault="00AB79DD" w:rsidP="00AB79DD">
      <w:pPr>
        <w:spacing w:before="120" w:after="120" w:line="360" w:lineRule="auto"/>
        <w:jc w:val="lowKashida"/>
        <w:rPr>
          <w:sz w:val="22"/>
          <w:szCs w:val="22"/>
        </w:rPr>
      </w:pPr>
      <w:r w:rsidRPr="00533FF6">
        <w:rPr>
          <w:sz w:val="22"/>
          <w:szCs w:val="22"/>
        </w:rPr>
        <w:t>Population growth is a problem that is challenging many populations and threatening human survival. The consequences include shortage of food and resources and increasing waste of resources, contamination and pollution from the increasing industrial competition to measure up and keep up with the demand by the growth of the demand by the population growth.</w:t>
      </w:r>
      <w:r>
        <w:rPr>
          <w:sz w:val="22"/>
          <w:szCs w:val="22"/>
        </w:rPr>
        <w:t xml:space="preserve"> DVW can interfere with family planning as it nullifies the women’s decision in reproduction </w:t>
      </w:r>
      <w:r w:rsidRPr="00562E20">
        <w:rPr>
          <w:b/>
          <w:bCs/>
          <w:sz w:val="22"/>
          <w:szCs w:val="22"/>
          <w:vertAlign w:val="superscript"/>
        </w:rPr>
        <w:t>(</w:t>
      </w:r>
      <w:r>
        <w:rPr>
          <w:b/>
          <w:bCs/>
          <w:sz w:val="22"/>
          <w:szCs w:val="22"/>
          <w:vertAlign w:val="superscript"/>
        </w:rPr>
        <w:t>5</w:t>
      </w:r>
      <w:r w:rsidRPr="00562E20">
        <w:rPr>
          <w:b/>
          <w:bCs/>
          <w:sz w:val="22"/>
          <w:szCs w:val="22"/>
          <w:vertAlign w:val="superscript"/>
        </w:rPr>
        <w:t>)</w:t>
      </w:r>
      <w:r>
        <w:rPr>
          <w:sz w:val="22"/>
          <w:szCs w:val="22"/>
        </w:rPr>
        <w:t>.</w:t>
      </w:r>
    </w:p>
    <w:p w:rsidR="00AB79DD" w:rsidRPr="00213F11" w:rsidRDefault="00AB79DD" w:rsidP="00AB79DD">
      <w:pPr>
        <w:spacing w:before="120" w:after="120" w:line="360" w:lineRule="auto"/>
        <w:jc w:val="lowKashida"/>
        <w:rPr>
          <w:rFonts w:asciiTheme="majorBidi" w:hAnsiTheme="majorBidi" w:cstheme="majorBidi"/>
          <w:b/>
          <w:sz w:val="22"/>
          <w:szCs w:val="22"/>
        </w:rPr>
      </w:pPr>
      <w:r w:rsidRPr="00213F11">
        <w:rPr>
          <w:sz w:val="22"/>
          <w:szCs w:val="22"/>
        </w:rPr>
        <w:t xml:space="preserve">The rising rates in DVW and </w:t>
      </w:r>
      <w:r>
        <w:rPr>
          <w:sz w:val="22"/>
          <w:szCs w:val="22"/>
        </w:rPr>
        <w:t>total fertility rate (</w:t>
      </w:r>
      <w:r w:rsidRPr="00213F11">
        <w:rPr>
          <w:sz w:val="22"/>
          <w:szCs w:val="22"/>
        </w:rPr>
        <w:t>TFR</w:t>
      </w:r>
      <w:r>
        <w:rPr>
          <w:sz w:val="22"/>
          <w:szCs w:val="22"/>
        </w:rPr>
        <w:t>)</w:t>
      </w:r>
      <w:r w:rsidRPr="00213F11">
        <w:rPr>
          <w:sz w:val="22"/>
          <w:szCs w:val="22"/>
        </w:rPr>
        <w:t xml:space="preserve"> calls for an assessment of the relationship between DVW and family planning. Hence the aim of this study is highlight the impact DVW may have on family planning and birth spacing and it relation to female circumcision and women health</w:t>
      </w:r>
      <w:r>
        <w:rPr>
          <w:sz w:val="22"/>
          <w:szCs w:val="22"/>
        </w:rPr>
        <w:t xml:space="preserve"> across Egypt by governorate</w:t>
      </w:r>
      <w:r w:rsidRPr="00213F11">
        <w:rPr>
          <w:sz w:val="22"/>
          <w:szCs w:val="22"/>
        </w:rPr>
        <w:t>.</w:t>
      </w:r>
    </w:p>
    <w:p w:rsidR="00AB79DD" w:rsidRPr="00213F11" w:rsidRDefault="00AB79DD" w:rsidP="00AB79DD">
      <w:pPr>
        <w:spacing w:before="120" w:after="120" w:line="360" w:lineRule="auto"/>
        <w:jc w:val="lowKashida"/>
        <w:rPr>
          <w:b/>
          <w:sz w:val="22"/>
          <w:szCs w:val="22"/>
        </w:rPr>
      </w:pPr>
      <w:r w:rsidRPr="00213F11">
        <w:rPr>
          <w:b/>
          <w:sz w:val="22"/>
          <w:szCs w:val="22"/>
        </w:rPr>
        <w:t>Methods</w:t>
      </w:r>
    </w:p>
    <w:p w:rsidR="00AB79DD" w:rsidRPr="00213F11" w:rsidRDefault="00AB79DD" w:rsidP="00AB79DD">
      <w:pPr>
        <w:spacing w:before="120" w:after="120" w:line="288" w:lineRule="auto"/>
        <w:jc w:val="lowKashida"/>
        <w:rPr>
          <w:b/>
          <w:sz w:val="22"/>
          <w:szCs w:val="22"/>
        </w:rPr>
      </w:pPr>
      <w:r w:rsidRPr="00213F11">
        <w:rPr>
          <w:b/>
          <w:sz w:val="22"/>
          <w:szCs w:val="22"/>
        </w:rPr>
        <w:t xml:space="preserve">Source of data: </w:t>
      </w:r>
      <w:r w:rsidRPr="00213F11">
        <w:rPr>
          <w:bCs/>
          <w:sz w:val="22"/>
          <w:szCs w:val="22"/>
        </w:rPr>
        <w:t>Egypt demographic health survey (EDHS)</w:t>
      </w:r>
      <w:r>
        <w:rPr>
          <w:bCs/>
          <w:sz w:val="22"/>
          <w:szCs w:val="22"/>
        </w:rPr>
        <w:t xml:space="preserve"> </w:t>
      </w:r>
      <w:r w:rsidRPr="00562E20">
        <w:rPr>
          <w:b/>
          <w:bCs/>
          <w:sz w:val="22"/>
          <w:szCs w:val="22"/>
          <w:vertAlign w:val="superscript"/>
        </w:rPr>
        <w:t>(</w:t>
      </w:r>
      <w:r>
        <w:rPr>
          <w:b/>
          <w:bCs/>
          <w:sz w:val="22"/>
          <w:szCs w:val="22"/>
          <w:vertAlign w:val="superscript"/>
        </w:rPr>
        <w:t>6</w:t>
      </w:r>
      <w:r w:rsidRPr="00562E20">
        <w:rPr>
          <w:b/>
          <w:bCs/>
          <w:sz w:val="22"/>
          <w:szCs w:val="22"/>
          <w:vertAlign w:val="superscript"/>
        </w:rPr>
        <w:t>)</w:t>
      </w:r>
      <w:r w:rsidRPr="00213F11">
        <w:rPr>
          <w:bCs/>
          <w:sz w:val="22"/>
          <w:szCs w:val="22"/>
        </w:rPr>
        <w:t xml:space="preserve"> was used as the source for the data for family planning, domestic violence and</w:t>
      </w:r>
      <w:r w:rsidRPr="00213F11">
        <w:rPr>
          <w:b/>
          <w:sz w:val="22"/>
          <w:szCs w:val="22"/>
        </w:rPr>
        <w:t xml:space="preserve"> </w:t>
      </w:r>
      <w:r w:rsidRPr="00213F11">
        <w:rPr>
          <w:bCs/>
          <w:sz w:val="22"/>
          <w:szCs w:val="22"/>
        </w:rPr>
        <w:t>circumcision</w:t>
      </w:r>
      <w:r w:rsidRPr="00213F11">
        <w:rPr>
          <w:b/>
          <w:sz w:val="22"/>
          <w:szCs w:val="22"/>
        </w:rPr>
        <w:t xml:space="preserve">. </w:t>
      </w:r>
      <w:r w:rsidRPr="00213F11">
        <w:rPr>
          <w:bCs/>
          <w:sz w:val="22"/>
          <w:szCs w:val="22"/>
        </w:rPr>
        <w:t xml:space="preserve">Data were taken for each of the 25 governorates. Governorates included urban governorates (Cairo, Alexandria, Suez and Post </w:t>
      </w:r>
      <w:proofErr w:type="spellStart"/>
      <w:r w:rsidRPr="00213F11">
        <w:rPr>
          <w:bCs/>
          <w:sz w:val="22"/>
          <w:szCs w:val="22"/>
        </w:rPr>
        <w:t>Saed</w:t>
      </w:r>
      <w:proofErr w:type="spellEnd"/>
      <w:r w:rsidRPr="00213F11">
        <w:rPr>
          <w:bCs/>
          <w:sz w:val="22"/>
          <w:szCs w:val="22"/>
        </w:rPr>
        <w:t xml:space="preserve">), Lower Egypt governorates. </w:t>
      </w:r>
      <w:proofErr w:type="gramStart"/>
      <w:r w:rsidRPr="00213F11">
        <w:rPr>
          <w:bCs/>
          <w:sz w:val="22"/>
          <w:szCs w:val="22"/>
        </w:rPr>
        <w:t>(</w:t>
      </w:r>
      <w:proofErr w:type="spellStart"/>
      <w:r w:rsidRPr="00213F11">
        <w:rPr>
          <w:bCs/>
          <w:sz w:val="22"/>
          <w:szCs w:val="22"/>
        </w:rPr>
        <w:t>Beheira</w:t>
      </w:r>
      <w:proofErr w:type="spellEnd"/>
      <w:r w:rsidRPr="00213F11">
        <w:rPr>
          <w:bCs/>
          <w:sz w:val="22"/>
          <w:szCs w:val="22"/>
        </w:rPr>
        <w:t xml:space="preserve">, </w:t>
      </w:r>
      <w:proofErr w:type="spellStart"/>
      <w:r w:rsidRPr="00213F11">
        <w:rPr>
          <w:bCs/>
          <w:sz w:val="22"/>
          <w:szCs w:val="22"/>
        </w:rPr>
        <w:t>Dameitta</w:t>
      </w:r>
      <w:proofErr w:type="spellEnd"/>
      <w:r w:rsidRPr="00213F11">
        <w:rPr>
          <w:bCs/>
          <w:sz w:val="22"/>
          <w:szCs w:val="22"/>
        </w:rPr>
        <w:t xml:space="preserve">, </w:t>
      </w:r>
      <w:proofErr w:type="spellStart"/>
      <w:r w:rsidRPr="00213F11">
        <w:rPr>
          <w:bCs/>
          <w:sz w:val="22"/>
          <w:szCs w:val="22"/>
        </w:rPr>
        <w:t>Dakahlia</w:t>
      </w:r>
      <w:proofErr w:type="spellEnd"/>
      <w:r w:rsidRPr="00213F11">
        <w:rPr>
          <w:bCs/>
          <w:sz w:val="22"/>
          <w:szCs w:val="22"/>
        </w:rPr>
        <w:t xml:space="preserve">, </w:t>
      </w:r>
      <w:proofErr w:type="spellStart"/>
      <w:r w:rsidRPr="00213F11">
        <w:rPr>
          <w:bCs/>
          <w:sz w:val="22"/>
          <w:szCs w:val="22"/>
        </w:rPr>
        <w:t>Gharrbia</w:t>
      </w:r>
      <w:proofErr w:type="spellEnd"/>
      <w:r w:rsidRPr="00213F11">
        <w:rPr>
          <w:bCs/>
          <w:sz w:val="22"/>
          <w:szCs w:val="22"/>
        </w:rPr>
        <w:t xml:space="preserve">, Ismailia, </w:t>
      </w:r>
      <w:proofErr w:type="spellStart"/>
      <w:r w:rsidRPr="00213F11">
        <w:rPr>
          <w:bCs/>
          <w:sz w:val="22"/>
          <w:szCs w:val="22"/>
        </w:rPr>
        <w:t>Kafr-ElSheikh</w:t>
      </w:r>
      <w:proofErr w:type="spellEnd"/>
      <w:r w:rsidRPr="00213F11">
        <w:rPr>
          <w:bCs/>
          <w:sz w:val="22"/>
          <w:szCs w:val="22"/>
        </w:rPr>
        <w:t xml:space="preserve">, </w:t>
      </w:r>
      <w:proofErr w:type="spellStart"/>
      <w:r w:rsidRPr="00213F11">
        <w:rPr>
          <w:bCs/>
          <w:sz w:val="22"/>
          <w:szCs w:val="22"/>
        </w:rPr>
        <w:t>Kaluibiya</w:t>
      </w:r>
      <w:proofErr w:type="spellEnd"/>
      <w:r w:rsidRPr="00213F11">
        <w:rPr>
          <w:bCs/>
          <w:sz w:val="22"/>
          <w:szCs w:val="22"/>
        </w:rPr>
        <w:t xml:space="preserve">, </w:t>
      </w:r>
      <w:proofErr w:type="spellStart"/>
      <w:r w:rsidRPr="00213F11">
        <w:rPr>
          <w:bCs/>
          <w:sz w:val="22"/>
          <w:szCs w:val="22"/>
        </w:rPr>
        <w:t>Menoufia</w:t>
      </w:r>
      <w:proofErr w:type="spellEnd"/>
      <w:r w:rsidRPr="00213F11">
        <w:rPr>
          <w:bCs/>
          <w:sz w:val="22"/>
          <w:szCs w:val="22"/>
        </w:rPr>
        <w:t xml:space="preserve"> and </w:t>
      </w:r>
      <w:proofErr w:type="spellStart"/>
      <w:r w:rsidRPr="00213F11">
        <w:rPr>
          <w:bCs/>
          <w:sz w:val="22"/>
          <w:szCs w:val="22"/>
        </w:rPr>
        <w:t>Sharkia</w:t>
      </w:r>
      <w:proofErr w:type="spellEnd"/>
      <w:r w:rsidRPr="00213F11">
        <w:rPr>
          <w:bCs/>
          <w:sz w:val="22"/>
          <w:szCs w:val="22"/>
        </w:rPr>
        <w:t>), Upper Egypt govern</w:t>
      </w:r>
      <w:r>
        <w:rPr>
          <w:bCs/>
          <w:sz w:val="22"/>
          <w:szCs w:val="22"/>
        </w:rPr>
        <w:t>or</w:t>
      </w:r>
      <w:r w:rsidRPr="00213F11">
        <w:rPr>
          <w:bCs/>
          <w:sz w:val="22"/>
          <w:szCs w:val="22"/>
        </w:rPr>
        <w:t>ates (</w:t>
      </w:r>
      <w:r w:rsidRPr="00213F11">
        <w:rPr>
          <w:sz w:val="22"/>
          <w:szCs w:val="22"/>
        </w:rPr>
        <w:t xml:space="preserve">Aswan, </w:t>
      </w:r>
      <w:proofErr w:type="spellStart"/>
      <w:r w:rsidRPr="00213F11">
        <w:rPr>
          <w:sz w:val="22"/>
          <w:szCs w:val="22"/>
        </w:rPr>
        <w:t>Assuit</w:t>
      </w:r>
      <w:proofErr w:type="spellEnd"/>
      <w:r w:rsidRPr="00213F11">
        <w:rPr>
          <w:sz w:val="22"/>
          <w:szCs w:val="22"/>
        </w:rPr>
        <w:t xml:space="preserve">, </w:t>
      </w:r>
      <w:proofErr w:type="spellStart"/>
      <w:r w:rsidRPr="00213F11">
        <w:rPr>
          <w:sz w:val="22"/>
          <w:szCs w:val="22"/>
        </w:rPr>
        <w:t>Beni</w:t>
      </w:r>
      <w:proofErr w:type="spellEnd"/>
      <w:r w:rsidRPr="00213F11">
        <w:rPr>
          <w:sz w:val="22"/>
          <w:szCs w:val="22"/>
        </w:rPr>
        <w:t xml:space="preserve"> </w:t>
      </w:r>
      <w:proofErr w:type="spellStart"/>
      <w:r w:rsidRPr="00213F11">
        <w:rPr>
          <w:sz w:val="22"/>
          <w:szCs w:val="22"/>
        </w:rPr>
        <w:t>Suef</w:t>
      </w:r>
      <w:proofErr w:type="spellEnd"/>
      <w:r w:rsidRPr="00213F11">
        <w:rPr>
          <w:sz w:val="22"/>
          <w:szCs w:val="22"/>
        </w:rPr>
        <w:t xml:space="preserve">, </w:t>
      </w:r>
      <w:proofErr w:type="spellStart"/>
      <w:r w:rsidRPr="00213F11">
        <w:rPr>
          <w:sz w:val="22"/>
          <w:szCs w:val="22"/>
        </w:rPr>
        <w:t>Fayoum</w:t>
      </w:r>
      <w:proofErr w:type="spellEnd"/>
      <w:r w:rsidRPr="00213F11">
        <w:rPr>
          <w:sz w:val="22"/>
          <w:szCs w:val="22"/>
        </w:rPr>
        <w:t xml:space="preserve">, Giza, Luxor, </w:t>
      </w:r>
      <w:proofErr w:type="spellStart"/>
      <w:r w:rsidRPr="00213F11">
        <w:rPr>
          <w:sz w:val="22"/>
          <w:szCs w:val="22"/>
        </w:rPr>
        <w:t>Menya</w:t>
      </w:r>
      <w:proofErr w:type="spellEnd"/>
      <w:r w:rsidRPr="00213F11">
        <w:rPr>
          <w:sz w:val="22"/>
          <w:szCs w:val="22"/>
        </w:rPr>
        <w:t xml:space="preserve">, </w:t>
      </w:r>
      <w:proofErr w:type="spellStart"/>
      <w:r w:rsidRPr="00213F11">
        <w:rPr>
          <w:sz w:val="22"/>
          <w:szCs w:val="22"/>
        </w:rPr>
        <w:t>Qena</w:t>
      </w:r>
      <w:proofErr w:type="spellEnd"/>
      <w:r w:rsidRPr="00213F11">
        <w:rPr>
          <w:sz w:val="22"/>
          <w:szCs w:val="22"/>
        </w:rPr>
        <w:t xml:space="preserve"> and </w:t>
      </w:r>
      <w:proofErr w:type="spellStart"/>
      <w:r w:rsidRPr="00213F11">
        <w:rPr>
          <w:sz w:val="22"/>
          <w:szCs w:val="22"/>
        </w:rPr>
        <w:t>Souhag</w:t>
      </w:r>
      <w:proofErr w:type="spellEnd"/>
      <w:r w:rsidRPr="00213F11">
        <w:rPr>
          <w:bCs/>
          <w:sz w:val="22"/>
          <w:szCs w:val="22"/>
        </w:rPr>
        <w:t>) and Fro</w:t>
      </w:r>
      <w:r>
        <w:rPr>
          <w:bCs/>
          <w:sz w:val="22"/>
          <w:szCs w:val="22"/>
        </w:rPr>
        <w:t>n</w:t>
      </w:r>
      <w:r w:rsidRPr="00213F11">
        <w:rPr>
          <w:bCs/>
          <w:sz w:val="22"/>
          <w:szCs w:val="22"/>
        </w:rPr>
        <w:t>t</w:t>
      </w:r>
      <w:r>
        <w:rPr>
          <w:bCs/>
          <w:sz w:val="22"/>
          <w:szCs w:val="22"/>
        </w:rPr>
        <w:t>ie</w:t>
      </w:r>
      <w:r w:rsidRPr="00213F11">
        <w:rPr>
          <w:bCs/>
          <w:sz w:val="22"/>
          <w:szCs w:val="22"/>
        </w:rPr>
        <w:t xml:space="preserve">r governorates (Red sea, </w:t>
      </w:r>
      <w:r w:rsidRPr="00213F11">
        <w:rPr>
          <w:bCs/>
          <w:sz w:val="22"/>
          <w:szCs w:val="22"/>
        </w:rPr>
        <w:lastRenderedPageBreak/>
        <w:t xml:space="preserve">New Valley, </w:t>
      </w:r>
      <w:proofErr w:type="spellStart"/>
      <w:r w:rsidRPr="00213F11">
        <w:rPr>
          <w:bCs/>
          <w:sz w:val="22"/>
          <w:szCs w:val="22"/>
        </w:rPr>
        <w:t>Matrouh</w:t>
      </w:r>
      <w:proofErr w:type="spellEnd"/>
      <w:r w:rsidRPr="00213F11">
        <w:rPr>
          <w:bCs/>
          <w:sz w:val="22"/>
          <w:szCs w:val="22"/>
        </w:rPr>
        <w:t>).</w:t>
      </w:r>
      <w:proofErr w:type="gramEnd"/>
      <w:r w:rsidRPr="00213F11">
        <w:rPr>
          <w:bCs/>
          <w:sz w:val="22"/>
          <w:szCs w:val="22"/>
        </w:rPr>
        <w:t xml:space="preserve"> North and South Sinai were not included. </w:t>
      </w:r>
    </w:p>
    <w:p w:rsidR="00AB79DD" w:rsidRPr="00213F11" w:rsidRDefault="00AB79DD" w:rsidP="00AB79DD">
      <w:pPr>
        <w:spacing w:before="120" w:after="120" w:line="360" w:lineRule="auto"/>
        <w:jc w:val="lowKashida"/>
        <w:rPr>
          <w:sz w:val="22"/>
          <w:szCs w:val="22"/>
        </w:rPr>
      </w:pPr>
      <w:r w:rsidRPr="00213F11">
        <w:rPr>
          <w:sz w:val="22"/>
          <w:szCs w:val="22"/>
        </w:rPr>
        <w:t>Data included wife exposure to domestic violence from her husband including the perceived justified reason by the wife for hitting or beating by the husband with a focus on refusal to have sex and any reason related to arguing, not taking permission to go out, burning food or neglect of children. Health status of mother examined included obesity and anemia. Circumcision data related to prevalence of circumcision and mother’s intention to circumcise her daughter, attitudes towards circumcision and husband preferences. The data was analyzed through Pearson’s correlation coefficient using the SSPS software (20) for statistical analysis.</w:t>
      </w:r>
    </w:p>
    <w:p w:rsidR="00AB79DD" w:rsidRPr="00213F11" w:rsidRDefault="00AB79DD" w:rsidP="00AB79DD">
      <w:pPr>
        <w:spacing w:before="120" w:after="120" w:line="360" w:lineRule="auto"/>
        <w:jc w:val="lowKashida"/>
        <w:rPr>
          <w:b/>
          <w:sz w:val="22"/>
          <w:szCs w:val="22"/>
        </w:rPr>
      </w:pPr>
      <w:r w:rsidRPr="00213F11">
        <w:rPr>
          <w:b/>
          <w:sz w:val="22"/>
          <w:szCs w:val="22"/>
        </w:rPr>
        <w:t>Results</w:t>
      </w:r>
    </w:p>
    <w:p w:rsidR="00AB79DD" w:rsidRPr="00213F11" w:rsidRDefault="00AB79DD" w:rsidP="00AB79DD">
      <w:pPr>
        <w:spacing w:before="120" w:after="120" w:line="360" w:lineRule="auto"/>
        <w:jc w:val="lowKashida"/>
        <w:rPr>
          <w:bCs/>
          <w:sz w:val="22"/>
          <w:szCs w:val="22"/>
        </w:rPr>
      </w:pPr>
      <w:r w:rsidRPr="00213F11">
        <w:rPr>
          <w:bCs/>
          <w:sz w:val="22"/>
          <w:szCs w:val="22"/>
        </w:rPr>
        <w:t xml:space="preserve">Figure (1) and Table (1) show the frequency distribution of ever-married women aged 15-49 who agree that a husband is justified to beat the wife for refusing sex and relates this to other reasons for beating. By governorate, beating for refusing to have sex was highest in </w:t>
      </w:r>
      <w:proofErr w:type="spellStart"/>
      <w:r w:rsidRPr="00213F11">
        <w:rPr>
          <w:bCs/>
          <w:sz w:val="22"/>
          <w:szCs w:val="22"/>
        </w:rPr>
        <w:t>Qena</w:t>
      </w:r>
      <w:proofErr w:type="spellEnd"/>
      <w:r w:rsidRPr="00213F11">
        <w:rPr>
          <w:bCs/>
          <w:sz w:val="22"/>
          <w:szCs w:val="22"/>
        </w:rPr>
        <w:t xml:space="preserve"> 59.4% and lowest in </w:t>
      </w:r>
      <w:proofErr w:type="spellStart"/>
      <w:r w:rsidRPr="00213F11">
        <w:rPr>
          <w:bCs/>
          <w:sz w:val="22"/>
          <w:szCs w:val="22"/>
        </w:rPr>
        <w:t>Kafr</w:t>
      </w:r>
      <w:proofErr w:type="spellEnd"/>
      <w:r w:rsidRPr="00213F11">
        <w:rPr>
          <w:bCs/>
          <w:sz w:val="22"/>
          <w:szCs w:val="22"/>
        </w:rPr>
        <w:t xml:space="preserve"> El-Sheikh 0.3%. By region, in urban governorates it was highest in Alexandria (10%) and lowest in Suez (3.3%); in LE it was highest in </w:t>
      </w:r>
      <w:proofErr w:type="spellStart"/>
      <w:r w:rsidRPr="00213F11">
        <w:rPr>
          <w:bCs/>
          <w:sz w:val="22"/>
          <w:szCs w:val="22"/>
        </w:rPr>
        <w:t>Beheira</w:t>
      </w:r>
      <w:proofErr w:type="spellEnd"/>
      <w:r w:rsidRPr="00213F11">
        <w:rPr>
          <w:bCs/>
          <w:sz w:val="22"/>
          <w:szCs w:val="22"/>
        </w:rPr>
        <w:t xml:space="preserve"> (25%) and lowest in </w:t>
      </w:r>
      <w:proofErr w:type="spellStart"/>
      <w:r w:rsidRPr="00213F11">
        <w:rPr>
          <w:bCs/>
          <w:sz w:val="22"/>
          <w:szCs w:val="22"/>
        </w:rPr>
        <w:t>Dameitta</w:t>
      </w:r>
      <w:proofErr w:type="spellEnd"/>
      <w:r w:rsidRPr="00213F11">
        <w:rPr>
          <w:bCs/>
          <w:sz w:val="22"/>
          <w:szCs w:val="22"/>
        </w:rPr>
        <w:t xml:space="preserve"> (5.5%); in UE governorates it was highest in </w:t>
      </w:r>
      <w:proofErr w:type="spellStart"/>
      <w:r w:rsidRPr="00213F11">
        <w:rPr>
          <w:bCs/>
          <w:sz w:val="22"/>
          <w:szCs w:val="22"/>
        </w:rPr>
        <w:t>Qena</w:t>
      </w:r>
      <w:proofErr w:type="spellEnd"/>
      <w:r w:rsidRPr="00213F11">
        <w:rPr>
          <w:bCs/>
          <w:sz w:val="22"/>
          <w:szCs w:val="22"/>
        </w:rPr>
        <w:t xml:space="preserve"> (59.4%) and Luxor (39.8%) and lowest in Giza (9.8%) followed by Aswan (15.9%). The most common reason for beating was going out without telling husband which </w:t>
      </w:r>
      <w:r w:rsidRPr="00213F11">
        <w:rPr>
          <w:bCs/>
          <w:sz w:val="22"/>
          <w:szCs w:val="22"/>
        </w:rPr>
        <w:lastRenderedPageBreak/>
        <w:t xml:space="preserve">was 60% in </w:t>
      </w:r>
      <w:proofErr w:type="spellStart"/>
      <w:r w:rsidRPr="00213F11">
        <w:rPr>
          <w:bCs/>
          <w:sz w:val="22"/>
          <w:szCs w:val="22"/>
        </w:rPr>
        <w:t>Assiut</w:t>
      </w:r>
      <w:proofErr w:type="spellEnd"/>
      <w:r w:rsidRPr="00213F11">
        <w:rPr>
          <w:bCs/>
          <w:sz w:val="22"/>
          <w:szCs w:val="22"/>
        </w:rPr>
        <w:t xml:space="preserve"> and 58.8% in </w:t>
      </w:r>
      <w:proofErr w:type="spellStart"/>
      <w:r w:rsidRPr="00213F11">
        <w:rPr>
          <w:bCs/>
          <w:sz w:val="22"/>
          <w:szCs w:val="22"/>
        </w:rPr>
        <w:t>Qena</w:t>
      </w:r>
      <w:proofErr w:type="spellEnd"/>
      <w:r w:rsidRPr="00213F11">
        <w:rPr>
          <w:bCs/>
          <w:sz w:val="22"/>
          <w:szCs w:val="22"/>
        </w:rPr>
        <w:t xml:space="preserve">, 50.5% in </w:t>
      </w:r>
      <w:proofErr w:type="spellStart"/>
      <w:r w:rsidRPr="00213F11">
        <w:rPr>
          <w:bCs/>
          <w:sz w:val="22"/>
          <w:szCs w:val="22"/>
        </w:rPr>
        <w:t>Menya</w:t>
      </w:r>
      <w:proofErr w:type="spellEnd"/>
      <w:r w:rsidRPr="00213F11">
        <w:rPr>
          <w:bCs/>
          <w:sz w:val="22"/>
          <w:szCs w:val="22"/>
        </w:rPr>
        <w:t xml:space="preserve"> and </w:t>
      </w:r>
      <w:proofErr w:type="spellStart"/>
      <w:r w:rsidRPr="00213F11">
        <w:rPr>
          <w:bCs/>
          <w:sz w:val="22"/>
          <w:szCs w:val="22"/>
        </w:rPr>
        <w:t>Souhag</w:t>
      </w:r>
      <w:proofErr w:type="spellEnd"/>
      <w:r w:rsidRPr="00213F11">
        <w:rPr>
          <w:bCs/>
          <w:sz w:val="22"/>
          <w:szCs w:val="22"/>
        </w:rPr>
        <w:t xml:space="preserve">, 40.8% in Luxor and 30.3% in </w:t>
      </w:r>
      <w:proofErr w:type="spellStart"/>
      <w:r w:rsidRPr="00213F11">
        <w:rPr>
          <w:bCs/>
          <w:sz w:val="22"/>
          <w:szCs w:val="22"/>
        </w:rPr>
        <w:t>Fayoum</w:t>
      </w:r>
      <w:proofErr w:type="spellEnd"/>
      <w:r w:rsidRPr="00213F11">
        <w:rPr>
          <w:bCs/>
          <w:sz w:val="22"/>
          <w:szCs w:val="22"/>
        </w:rPr>
        <w:t xml:space="preserve">. </w:t>
      </w:r>
    </w:p>
    <w:p w:rsidR="00AB79DD" w:rsidRPr="00213F11" w:rsidRDefault="00AB79DD" w:rsidP="00AB79DD">
      <w:pPr>
        <w:spacing w:before="120" w:after="120" w:line="360" w:lineRule="auto"/>
        <w:jc w:val="lowKashida"/>
        <w:rPr>
          <w:rFonts w:asciiTheme="majorBidi" w:hAnsiTheme="majorBidi" w:cstheme="majorBidi"/>
          <w:sz w:val="22"/>
          <w:szCs w:val="22"/>
        </w:rPr>
      </w:pPr>
      <w:r w:rsidRPr="00213F11">
        <w:rPr>
          <w:rFonts w:asciiTheme="majorBidi" w:hAnsiTheme="majorBidi" w:cstheme="majorBidi"/>
          <w:sz w:val="22"/>
          <w:szCs w:val="22"/>
        </w:rPr>
        <w:t xml:space="preserve">Table (2) and figure (3) presents correlations between demand for a contraception method, whether for birth spacing or family planning, with the different reasons for domestic violence against ever married women aged (15 to 49 years) in the governorates under study. There was a significant negative correlation between domestic violence for all of the mentioned reasons and demand for family planning (P&lt;0.01). The correlations of domestic violence with birth spacing were positive but not statistically significant (P&lt;0.05).  </w:t>
      </w:r>
    </w:p>
    <w:p w:rsidR="00AB79DD" w:rsidRPr="00213F11" w:rsidRDefault="00AB79DD" w:rsidP="00AB79DD">
      <w:pPr>
        <w:spacing w:line="360" w:lineRule="auto"/>
        <w:jc w:val="lowKashida"/>
        <w:rPr>
          <w:bCs/>
          <w:sz w:val="22"/>
          <w:szCs w:val="22"/>
        </w:rPr>
      </w:pPr>
      <w:r w:rsidRPr="00213F11">
        <w:rPr>
          <w:bCs/>
          <w:sz w:val="22"/>
          <w:szCs w:val="22"/>
        </w:rPr>
        <w:t xml:space="preserve">Table (3) shows that there was a statistically significant correlation between women who had already circumcised their daughter with demand for contraceptive methods for birth spacing (r0.5, P=0.02) and negatively for family planning (r-0.6, P=0.002). Also there was a statistically significant correlation between demand for birth spacing among women who agree that husbands prefer circumcision (r0.5, P=0.02). There was some correlation but insignificant of demand of birth spacing with prevalence of circumcision among ever married women (r0.3, P&gt;0.05) and women expected to circumcise their daughter (0.4, P=0.6). </w:t>
      </w:r>
    </w:p>
    <w:p w:rsidR="00AB79DD" w:rsidRPr="00213F11" w:rsidRDefault="00AB79DD" w:rsidP="00AB79DD">
      <w:pPr>
        <w:spacing w:before="120" w:after="120" w:line="360" w:lineRule="auto"/>
        <w:jc w:val="lowKashida"/>
        <w:rPr>
          <w:bCs/>
          <w:sz w:val="22"/>
          <w:szCs w:val="22"/>
        </w:rPr>
      </w:pPr>
    </w:p>
    <w:p w:rsidR="00AB79DD" w:rsidRDefault="00AB79DD" w:rsidP="00AB79DD">
      <w:pPr>
        <w:spacing w:before="120" w:after="120" w:line="288" w:lineRule="auto"/>
        <w:jc w:val="lowKashida"/>
        <w:rPr>
          <w:b/>
        </w:rPr>
      </w:pPr>
    </w:p>
    <w:p w:rsidR="00AB79DD" w:rsidRDefault="00AB79DD" w:rsidP="00AB79DD">
      <w:pPr>
        <w:spacing w:before="120" w:after="120" w:line="288" w:lineRule="auto"/>
        <w:jc w:val="lowKashida"/>
        <w:rPr>
          <w:b/>
        </w:rPr>
        <w:sectPr w:rsidR="00AB79DD" w:rsidSect="008B3E03">
          <w:type w:val="continuous"/>
          <w:pgSz w:w="11907" w:h="16840" w:code="9"/>
          <w:pgMar w:top="1440" w:right="1440" w:bottom="1440" w:left="1440" w:header="709" w:footer="851" w:gutter="0"/>
          <w:cols w:num="2" w:space="425"/>
          <w:rtlGutter/>
          <w:docGrid w:linePitch="360"/>
        </w:sectPr>
      </w:pPr>
    </w:p>
    <w:p w:rsidR="00AB79DD" w:rsidRDefault="00AB79DD" w:rsidP="00AB79DD">
      <w:pPr>
        <w:spacing w:before="120" w:after="120" w:line="288" w:lineRule="auto"/>
        <w:jc w:val="lowKashida"/>
        <w:rPr>
          <w:b/>
        </w:rPr>
      </w:pPr>
      <w:r>
        <w:rPr>
          <w:b/>
          <w:noProof/>
        </w:rPr>
        <w:lastRenderedPageBreak/>
        <w:drawing>
          <wp:inline distT="0" distB="0" distL="0" distR="0" wp14:anchorId="1D7361DB" wp14:editId="6E7DC182">
            <wp:extent cx="5520519" cy="2579427"/>
            <wp:effectExtent l="0" t="0" r="23495" b="114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B79DD" w:rsidRPr="004976AC" w:rsidRDefault="00AB79DD" w:rsidP="00AB79DD">
      <w:pPr>
        <w:jc w:val="lowKashida"/>
        <w:rPr>
          <w:sz w:val="22"/>
          <w:szCs w:val="22"/>
        </w:rPr>
      </w:pPr>
      <w:r w:rsidRPr="004976AC">
        <w:rPr>
          <w:b/>
          <w:sz w:val="22"/>
          <w:szCs w:val="22"/>
        </w:rPr>
        <w:t>Table (1) Correlations between p</w:t>
      </w:r>
      <w:r w:rsidRPr="004976AC">
        <w:rPr>
          <w:sz w:val="22"/>
          <w:szCs w:val="22"/>
        </w:rPr>
        <w:t>ercentage of ever-married women age 15-49 who agree that husband is justified to beat wife who refuses to have sex vs. other reasons, by governorate, Egypt 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80"/>
        <w:gridCol w:w="1748"/>
        <w:gridCol w:w="1300"/>
        <w:gridCol w:w="942"/>
        <w:gridCol w:w="1352"/>
        <w:gridCol w:w="1220"/>
        <w:gridCol w:w="795"/>
      </w:tblGrid>
      <w:tr w:rsidR="00AB79DD" w:rsidRPr="00942087" w:rsidTr="00B37877">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B79DD" w:rsidRDefault="00AB79DD" w:rsidP="00B37877">
            <w:pPr>
              <w:autoSpaceDE w:val="0"/>
              <w:autoSpaceDN w:val="0"/>
              <w:adjustRightInd w:val="0"/>
              <w:ind w:left="60" w:right="60"/>
              <w:rPr>
                <w:rFonts w:ascii="Arial" w:hAnsi="Arial" w:cs="Arial"/>
                <w:color w:val="000000"/>
                <w:sz w:val="18"/>
                <w:szCs w:val="18"/>
              </w:rPr>
            </w:pPr>
            <w:r>
              <w:rPr>
                <w:rFonts w:ascii="Arial" w:hAnsi="Arial" w:cs="Arial"/>
                <w:color w:val="000000"/>
                <w:sz w:val="18"/>
                <w:szCs w:val="18"/>
              </w:rPr>
              <w:t>Justified reason for beating or hitting wife by husband:</w:t>
            </w:r>
          </w:p>
        </w:tc>
      </w:tr>
      <w:tr w:rsidR="00AB79DD" w:rsidRPr="00942087" w:rsidTr="00B37877">
        <w:trPr>
          <w:cantSplit/>
        </w:trPr>
        <w:tc>
          <w:tcPr>
            <w:tcW w:w="930"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Variable</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Statistics</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Goes out without husband permission</w:t>
            </w: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942087">
              <w:rPr>
                <w:rFonts w:ascii="Arial" w:hAnsi="Arial" w:cs="Arial"/>
                <w:color w:val="000000"/>
                <w:sz w:val="18"/>
                <w:szCs w:val="18"/>
              </w:rPr>
              <w:t>Argues</w:t>
            </w:r>
            <w:r>
              <w:rPr>
                <w:rFonts w:ascii="Arial" w:hAnsi="Arial" w:cs="Arial"/>
                <w:color w:val="000000"/>
                <w:sz w:val="18"/>
                <w:szCs w:val="18"/>
              </w:rPr>
              <w:t xml:space="preserve"> with husband</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Neglects child</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942087">
              <w:rPr>
                <w:rFonts w:ascii="Arial" w:hAnsi="Arial" w:cs="Arial"/>
                <w:color w:val="000000"/>
                <w:sz w:val="18"/>
                <w:szCs w:val="18"/>
              </w:rPr>
              <w:t>Burns</w:t>
            </w:r>
            <w:r>
              <w:rPr>
                <w:rFonts w:ascii="Arial" w:hAnsi="Arial" w:cs="Arial"/>
                <w:color w:val="000000"/>
                <w:sz w:val="18"/>
                <w:szCs w:val="18"/>
              </w:rPr>
              <w:t xml:space="preserve"> </w:t>
            </w:r>
            <w:r w:rsidRPr="00942087">
              <w:rPr>
                <w:rFonts w:ascii="Arial" w:hAnsi="Arial" w:cs="Arial"/>
                <w:color w:val="000000"/>
                <w:sz w:val="18"/>
                <w:szCs w:val="18"/>
              </w:rPr>
              <w:t>F</w:t>
            </w:r>
            <w:r>
              <w:rPr>
                <w:rFonts w:ascii="Arial" w:hAnsi="Arial" w:cs="Arial"/>
                <w:color w:val="000000"/>
                <w:sz w:val="18"/>
                <w:szCs w:val="18"/>
              </w:rPr>
              <w:t>oo</w:t>
            </w:r>
            <w:r w:rsidRPr="00942087">
              <w:rPr>
                <w:rFonts w:ascii="Arial" w:hAnsi="Arial" w:cs="Arial"/>
                <w:color w:val="000000"/>
                <w:sz w:val="18"/>
                <w:szCs w:val="18"/>
              </w:rPr>
              <w:t>d</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Any reason</w:t>
            </w:r>
          </w:p>
        </w:tc>
      </w:tr>
      <w:tr w:rsidR="00AB79DD" w:rsidRPr="00942087" w:rsidTr="00B37877">
        <w:trPr>
          <w:cantSplit/>
        </w:trPr>
        <w:tc>
          <w:tcPr>
            <w:tcW w:w="9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Refuses sex with husband (25)</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942087">
              <w:rPr>
                <w:rFonts w:ascii="Arial" w:hAnsi="Arial" w:cs="Arial"/>
                <w:color w:val="000000"/>
                <w:sz w:val="18"/>
                <w:szCs w:val="18"/>
              </w:rPr>
              <w:t>Pearson Correlation</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942087">
              <w:rPr>
                <w:rFonts w:ascii="Arial" w:hAnsi="Arial" w:cs="Arial"/>
                <w:color w:val="000000"/>
                <w:sz w:val="18"/>
                <w:szCs w:val="18"/>
              </w:rPr>
              <w:t>.7</w:t>
            </w:r>
            <w:r>
              <w:rPr>
                <w:rFonts w:ascii="Arial" w:hAnsi="Arial" w:cs="Arial"/>
                <w:color w:val="000000"/>
                <w:sz w:val="18"/>
                <w:szCs w:val="18"/>
              </w:rPr>
              <w:t>5</w:t>
            </w:r>
            <w:r w:rsidRPr="00942087">
              <w:rPr>
                <w:rFonts w:ascii="Arial" w:hAnsi="Arial" w:cs="Arial"/>
                <w:color w:val="000000"/>
                <w:sz w:val="18"/>
                <w:szCs w:val="18"/>
                <w:vertAlign w:val="superscript"/>
              </w:rPr>
              <w:t>**</w:t>
            </w: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942087">
              <w:rPr>
                <w:rFonts w:ascii="Arial" w:hAnsi="Arial" w:cs="Arial"/>
                <w:color w:val="000000"/>
                <w:sz w:val="18"/>
                <w:szCs w:val="18"/>
              </w:rPr>
              <w:t>.8</w:t>
            </w:r>
            <w:r w:rsidRPr="00942087">
              <w:rPr>
                <w:rFonts w:ascii="Arial" w:hAnsi="Arial" w:cs="Arial"/>
                <w:color w:val="000000"/>
                <w:sz w:val="18"/>
                <w:szCs w:val="18"/>
                <w:vertAlign w:val="superscript"/>
              </w:rPr>
              <w:t>**</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942087">
              <w:rPr>
                <w:rFonts w:ascii="Arial" w:hAnsi="Arial" w:cs="Arial"/>
                <w:color w:val="000000"/>
                <w:sz w:val="18"/>
                <w:szCs w:val="18"/>
              </w:rPr>
              <w:t>.8</w:t>
            </w:r>
            <w:r w:rsidRPr="00942087">
              <w:rPr>
                <w:rFonts w:ascii="Arial" w:hAnsi="Arial" w:cs="Arial"/>
                <w:color w:val="000000"/>
                <w:sz w:val="18"/>
                <w:szCs w:val="18"/>
                <w:vertAlign w:val="superscript"/>
              </w:rPr>
              <w:t>**</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942087">
              <w:rPr>
                <w:rFonts w:ascii="Arial" w:hAnsi="Arial" w:cs="Arial"/>
                <w:color w:val="000000"/>
                <w:sz w:val="18"/>
                <w:szCs w:val="18"/>
              </w:rPr>
              <w:t>.8</w:t>
            </w:r>
            <w:r w:rsidRPr="00942087">
              <w:rPr>
                <w:rFonts w:ascii="Arial" w:hAnsi="Arial" w:cs="Arial"/>
                <w:color w:val="000000"/>
                <w:sz w:val="18"/>
                <w:szCs w:val="18"/>
                <w:vertAlign w:val="superscript"/>
              </w:rPr>
              <w:t>**</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942087">
              <w:rPr>
                <w:rFonts w:ascii="Arial" w:hAnsi="Arial" w:cs="Arial"/>
                <w:color w:val="000000"/>
                <w:sz w:val="18"/>
                <w:szCs w:val="18"/>
              </w:rPr>
              <w:t>.</w:t>
            </w:r>
            <w:r>
              <w:rPr>
                <w:rFonts w:ascii="Arial" w:hAnsi="Arial" w:cs="Arial"/>
                <w:color w:val="000000"/>
                <w:sz w:val="18"/>
                <w:szCs w:val="18"/>
              </w:rPr>
              <w:t>9</w:t>
            </w:r>
            <w:r w:rsidRPr="00942087">
              <w:rPr>
                <w:rFonts w:ascii="Arial" w:hAnsi="Arial" w:cs="Arial"/>
                <w:color w:val="000000"/>
                <w:sz w:val="18"/>
                <w:szCs w:val="18"/>
                <w:vertAlign w:val="superscript"/>
              </w:rPr>
              <w:t>**</w:t>
            </w:r>
          </w:p>
        </w:tc>
      </w:tr>
      <w:tr w:rsidR="00AB79DD" w:rsidRPr="00942087" w:rsidTr="00B37877">
        <w:trPr>
          <w:cantSplit/>
        </w:trPr>
        <w:tc>
          <w:tcPr>
            <w:tcW w:w="93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jc w:val="center"/>
              <w:rPr>
                <w:rFonts w:ascii="Arial" w:hAnsi="Arial" w:cs="Arial"/>
                <w:color w:val="000000"/>
                <w:sz w:val="18"/>
                <w:szCs w:val="18"/>
              </w:rPr>
            </w:pP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942087">
              <w:rPr>
                <w:rFonts w:ascii="Arial" w:hAnsi="Arial" w:cs="Arial"/>
                <w:color w:val="000000"/>
                <w:sz w:val="18"/>
                <w:szCs w:val="18"/>
              </w:rPr>
              <w:t>Sig. (2-tailed)</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942087">
              <w:rPr>
                <w:rFonts w:ascii="Arial" w:hAnsi="Arial" w:cs="Arial"/>
                <w:color w:val="000000"/>
                <w:sz w:val="18"/>
                <w:szCs w:val="18"/>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942087">
              <w:rPr>
                <w:rFonts w:ascii="Arial" w:hAnsi="Arial" w:cs="Arial"/>
                <w:color w:val="000000"/>
                <w:sz w:val="18"/>
                <w:szCs w:val="18"/>
              </w:rPr>
              <w:t>.000</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942087">
              <w:rPr>
                <w:rFonts w:ascii="Arial" w:hAnsi="Arial" w:cs="Arial"/>
                <w:color w:val="000000"/>
                <w:sz w:val="18"/>
                <w:szCs w:val="18"/>
              </w:rPr>
              <w:t>.000</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942087">
              <w:rPr>
                <w:rFonts w:ascii="Arial" w:hAnsi="Arial" w:cs="Arial"/>
                <w:color w:val="000000"/>
                <w:sz w:val="18"/>
                <w:szCs w:val="18"/>
              </w:rPr>
              <w:t>.000</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942087"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942087">
              <w:rPr>
                <w:rFonts w:ascii="Arial" w:hAnsi="Arial" w:cs="Arial"/>
                <w:color w:val="000000"/>
                <w:sz w:val="18"/>
                <w:szCs w:val="18"/>
              </w:rPr>
              <w:t>.000</w:t>
            </w:r>
          </w:p>
        </w:tc>
      </w:tr>
    </w:tbl>
    <w:p w:rsidR="00AB79DD" w:rsidRPr="00DC3B9D" w:rsidRDefault="00AB79DD" w:rsidP="00AB79DD">
      <w:pPr>
        <w:spacing w:before="120" w:after="120" w:line="360" w:lineRule="auto"/>
        <w:jc w:val="lowKashida"/>
        <w:rPr>
          <w:rFonts w:asciiTheme="majorBidi" w:hAnsiTheme="majorBidi" w:cstheme="majorBidi"/>
          <w:sz w:val="20"/>
          <w:szCs w:val="20"/>
        </w:rPr>
      </w:pPr>
      <w:r>
        <w:rPr>
          <w:rFonts w:asciiTheme="majorBidi" w:hAnsiTheme="majorBidi" w:cstheme="majorBidi"/>
          <w:noProof/>
          <w:sz w:val="20"/>
          <w:szCs w:val="20"/>
        </w:rPr>
        <w:drawing>
          <wp:inline distT="0" distB="0" distL="0" distR="0" wp14:anchorId="788EBA3F" wp14:editId="168BEE09">
            <wp:extent cx="5076825" cy="263842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79DD" w:rsidRDefault="00AB79DD" w:rsidP="00AB79DD">
      <w:pPr>
        <w:jc w:val="center"/>
        <w:rPr>
          <w:rFonts w:ascii="Arial Black" w:hAnsi="Arial Black"/>
          <w:b/>
          <w:bCs/>
          <w:i/>
          <w:iCs/>
        </w:rPr>
        <w:sectPr w:rsidR="00AB79DD" w:rsidSect="00361834">
          <w:type w:val="continuous"/>
          <w:pgSz w:w="11907" w:h="16840" w:code="9"/>
          <w:pgMar w:top="1440" w:right="1440" w:bottom="1440" w:left="1440" w:header="709" w:footer="851" w:gutter="0"/>
          <w:cols w:space="425"/>
          <w:rtlGutter/>
          <w:docGrid w:linePitch="360"/>
        </w:sectPr>
      </w:pPr>
    </w:p>
    <w:p w:rsidR="00AB79DD" w:rsidRDefault="00AB79DD" w:rsidP="00AB79DD">
      <w:pPr>
        <w:jc w:val="center"/>
        <w:rPr>
          <w:rFonts w:ascii="Arial Black" w:hAnsi="Arial Black"/>
          <w:b/>
          <w:bCs/>
          <w:i/>
          <w:iCs/>
        </w:rPr>
      </w:pPr>
      <w:r>
        <w:rPr>
          <w:rFonts w:ascii="Arial Black" w:hAnsi="Arial Black"/>
          <w:b/>
          <w:bCs/>
          <w:i/>
          <w:iCs/>
          <w:noProof/>
        </w:rPr>
        <w:lastRenderedPageBreak/>
        <w:drawing>
          <wp:inline distT="0" distB="0" distL="0" distR="0" wp14:anchorId="11379F5F" wp14:editId="1DE9B9A9">
            <wp:extent cx="5495925" cy="340042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79DD" w:rsidRDefault="00AB79DD" w:rsidP="00AB79DD">
      <w:pPr>
        <w:rPr>
          <w:rFonts w:ascii="Arial Black" w:hAnsi="Arial Black"/>
          <w:b/>
          <w:bCs/>
          <w:i/>
          <w:iCs/>
        </w:rPr>
      </w:pPr>
    </w:p>
    <w:p w:rsidR="00AB79DD" w:rsidRPr="000F3F96" w:rsidRDefault="00AB79DD" w:rsidP="00AB79DD">
      <w:pPr>
        <w:rPr>
          <w:rFonts w:asciiTheme="majorBidi" w:hAnsiTheme="majorBidi" w:cstheme="majorBidi"/>
          <w:b/>
          <w:bCs/>
          <w:sz w:val="20"/>
          <w:szCs w:val="20"/>
        </w:rPr>
      </w:pPr>
      <w:r w:rsidRPr="000F3F96">
        <w:rPr>
          <w:rFonts w:asciiTheme="majorBidi" w:hAnsiTheme="majorBidi" w:cstheme="majorBidi"/>
          <w:b/>
          <w:bCs/>
          <w:sz w:val="20"/>
          <w:szCs w:val="20"/>
        </w:rPr>
        <w:t>Table (2) Correlating the reason for demand of family planning with the perceived reason for justified beating or hitting of wife among ever married women aged (15 to 49 years) by governorate in Egypt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5"/>
        <w:gridCol w:w="876"/>
        <w:gridCol w:w="965"/>
        <w:gridCol w:w="1306"/>
        <w:gridCol w:w="965"/>
        <w:gridCol w:w="1025"/>
        <w:gridCol w:w="965"/>
      </w:tblGrid>
      <w:tr w:rsidR="00AB79DD" w:rsidRPr="004976AC" w:rsidTr="00B37877">
        <w:trPr>
          <w:cantSplit/>
        </w:trPr>
        <w:tc>
          <w:tcPr>
            <w:tcW w:w="0" w:type="auto"/>
            <w:shd w:val="clear" w:color="auto" w:fill="FFFFFF"/>
          </w:tcPr>
          <w:p w:rsidR="00AB79DD" w:rsidRPr="000F3F96" w:rsidRDefault="00AB79DD" w:rsidP="00B37877">
            <w:pPr>
              <w:autoSpaceDE w:val="0"/>
              <w:autoSpaceDN w:val="0"/>
              <w:adjustRightInd w:val="0"/>
              <w:ind w:left="58" w:right="58"/>
              <w:rPr>
                <w:rFonts w:asciiTheme="majorBidi" w:hAnsiTheme="majorBidi" w:cstheme="majorBidi"/>
                <w:color w:val="000000"/>
                <w:sz w:val="18"/>
                <w:szCs w:val="18"/>
              </w:rPr>
            </w:pPr>
            <w:r w:rsidRPr="000F3F96">
              <w:rPr>
                <w:rFonts w:asciiTheme="majorBidi" w:hAnsiTheme="majorBidi" w:cstheme="majorBidi"/>
                <w:color w:val="000000"/>
                <w:sz w:val="18"/>
                <w:szCs w:val="18"/>
              </w:rPr>
              <w:t>Demand for use of contraceptives</w:t>
            </w:r>
          </w:p>
        </w:tc>
        <w:tc>
          <w:tcPr>
            <w:tcW w:w="0" w:type="auto"/>
            <w:shd w:val="clear" w:color="auto" w:fill="FFFFFF"/>
          </w:tcPr>
          <w:p w:rsidR="00AB79DD" w:rsidRPr="000F3F96" w:rsidRDefault="00AB79DD" w:rsidP="00B37877">
            <w:pPr>
              <w:autoSpaceDE w:val="0"/>
              <w:autoSpaceDN w:val="0"/>
              <w:adjustRightInd w:val="0"/>
              <w:ind w:left="58" w:right="58"/>
              <w:rPr>
                <w:rFonts w:asciiTheme="majorBidi" w:hAnsiTheme="majorBidi" w:cstheme="majorBidi"/>
                <w:color w:val="000000"/>
                <w:sz w:val="18"/>
                <w:szCs w:val="18"/>
              </w:rPr>
            </w:pPr>
            <w:r w:rsidRPr="000F3F96">
              <w:rPr>
                <w:rFonts w:asciiTheme="majorBidi" w:hAnsiTheme="majorBidi" w:cstheme="majorBidi"/>
                <w:color w:val="000000"/>
                <w:sz w:val="18"/>
                <w:szCs w:val="18"/>
              </w:rPr>
              <w:t>For spacing</w:t>
            </w:r>
          </w:p>
        </w:tc>
        <w:tc>
          <w:tcPr>
            <w:tcW w:w="0" w:type="auto"/>
            <w:shd w:val="clear" w:color="auto" w:fill="FFFFFF"/>
          </w:tcPr>
          <w:p w:rsidR="00AB79DD" w:rsidRPr="000F3F96" w:rsidRDefault="00AB79DD" w:rsidP="00B37877">
            <w:pPr>
              <w:autoSpaceDE w:val="0"/>
              <w:autoSpaceDN w:val="0"/>
              <w:adjustRightInd w:val="0"/>
              <w:ind w:left="58" w:right="58"/>
              <w:rPr>
                <w:rFonts w:asciiTheme="majorBidi" w:hAnsiTheme="majorBidi" w:cstheme="majorBidi"/>
                <w:color w:val="000000"/>
                <w:sz w:val="18"/>
                <w:szCs w:val="18"/>
              </w:rPr>
            </w:pPr>
            <w:r w:rsidRPr="000F3F96">
              <w:rPr>
                <w:rFonts w:asciiTheme="majorBidi" w:hAnsiTheme="majorBidi" w:cstheme="majorBidi"/>
                <w:color w:val="000000"/>
                <w:sz w:val="18"/>
                <w:szCs w:val="18"/>
              </w:rPr>
              <w:t>Sig. (2-tailed)</w:t>
            </w:r>
          </w:p>
        </w:tc>
        <w:tc>
          <w:tcPr>
            <w:tcW w:w="0" w:type="auto"/>
            <w:shd w:val="clear" w:color="auto" w:fill="FFFFFF"/>
          </w:tcPr>
          <w:p w:rsidR="00AB79DD" w:rsidRPr="000F3F96" w:rsidRDefault="00AB79DD" w:rsidP="00B37877">
            <w:pPr>
              <w:autoSpaceDE w:val="0"/>
              <w:autoSpaceDN w:val="0"/>
              <w:adjustRightInd w:val="0"/>
              <w:ind w:left="58" w:right="58"/>
              <w:rPr>
                <w:rFonts w:asciiTheme="majorBidi" w:hAnsiTheme="majorBidi" w:cstheme="majorBidi"/>
                <w:color w:val="000000"/>
                <w:sz w:val="18"/>
                <w:szCs w:val="18"/>
              </w:rPr>
            </w:pPr>
            <w:r w:rsidRPr="000F3F96">
              <w:rPr>
                <w:rFonts w:asciiTheme="majorBidi" w:hAnsiTheme="majorBidi" w:cstheme="majorBidi"/>
                <w:color w:val="000000"/>
                <w:sz w:val="18"/>
                <w:szCs w:val="18"/>
              </w:rPr>
              <w:t>For family planning</w:t>
            </w:r>
          </w:p>
        </w:tc>
        <w:tc>
          <w:tcPr>
            <w:tcW w:w="0" w:type="auto"/>
            <w:shd w:val="clear" w:color="auto" w:fill="FFFFFF"/>
          </w:tcPr>
          <w:p w:rsidR="00AB79DD" w:rsidRPr="000F3F96" w:rsidRDefault="00AB79DD" w:rsidP="00B37877">
            <w:pPr>
              <w:autoSpaceDE w:val="0"/>
              <w:autoSpaceDN w:val="0"/>
              <w:adjustRightInd w:val="0"/>
              <w:ind w:left="58" w:right="58"/>
              <w:rPr>
                <w:rFonts w:asciiTheme="majorBidi" w:hAnsiTheme="majorBidi" w:cstheme="majorBidi"/>
                <w:color w:val="000000"/>
                <w:sz w:val="18"/>
                <w:szCs w:val="18"/>
              </w:rPr>
            </w:pPr>
            <w:r w:rsidRPr="000F3F96">
              <w:rPr>
                <w:rFonts w:asciiTheme="majorBidi" w:hAnsiTheme="majorBidi" w:cstheme="majorBidi"/>
                <w:color w:val="000000"/>
                <w:sz w:val="18"/>
                <w:szCs w:val="18"/>
              </w:rPr>
              <w:t>Sig. (2-tailed)</w:t>
            </w:r>
          </w:p>
        </w:tc>
        <w:tc>
          <w:tcPr>
            <w:tcW w:w="0" w:type="auto"/>
            <w:shd w:val="clear" w:color="auto" w:fill="FFFFFF"/>
          </w:tcPr>
          <w:p w:rsidR="00AB79DD" w:rsidRPr="000F3F96" w:rsidRDefault="00AB79DD" w:rsidP="00B37877">
            <w:pPr>
              <w:autoSpaceDE w:val="0"/>
              <w:autoSpaceDN w:val="0"/>
              <w:adjustRightInd w:val="0"/>
              <w:ind w:left="58" w:right="58"/>
              <w:rPr>
                <w:rFonts w:asciiTheme="majorBidi" w:hAnsiTheme="majorBidi" w:cstheme="majorBidi"/>
                <w:color w:val="000000"/>
                <w:sz w:val="18"/>
                <w:szCs w:val="18"/>
              </w:rPr>
            </w:pPr>
            <w:r w:rsidRPr="000F3F96">
              <w:rPr>
                <w:rFonts w:asciiTheme="majorBidi" w:hAnsiTheme="majorBidi" w:cstheme="majorBidi"/>
                <w:color w:val="000000"/>
                <w:sz w:val="18"/>
                <w:szCs w:val="18"/>
              </w:rPr>
              <w:t>Total Demand</w:t>
            </w:r>
          </w:p>
        </w:tc>
        <w:tc>
          <w:tcPr>
            <w:tcW w:w="0" w:type="auto"/>
            <w:shd w:val="clear" w:color="auto" w:fill="FFFFFF"/>
          </w:tcPr>
          <w:p w:rsidR="00AB79DD" w:rsidRPr="000F3F96" w:rsidRDefault="00AB79DD" w:rsidP="00B37877">
            <w:pPr>
              <w:autoSpaceDE w:val="0"/>
              <w:autoSpaceDN w:val="0"/>
              <w:adjustRightInd w:val="0"/>
              <w:ind w:left="58" w:right="58"/>
              <w:rPr>
                <w:rFonts w:asciiTheme="majorBidi" w:hAnsiTheme="majorBidi" w:cstheme="majorBidi"/>
                <w:color w:val="000000"/>
                <w:sz w:val="18"/>
                <w:szCs w:val="18"/>
              </w:rPr>
            </w:pPr>
            <w:r w:rsidRPr="000F3F96">
              <w:rPr>
                <w:rFonts w:asciiTheme="majorBidi" w:hAnsiTheme="majorBidi" w:cstheme="majorBidi"/>
                <w:color w:val="000000"/>
                <w:sz w:val="18"/>
                <w:szCs w:val="18"/>
              </w:rPr>
              <w:t>Sig. (2-tailed)</w:t>
            </w:r>
          </w:p>
        </w:tc>
      </w:tr>
      <w:tr w:rsidR="00AB79DD" w:rsidRPr="004976AC" w:rsidTr="00B37877">
        <w:trPr>
          <w:cantSplit/>
        </w:trPr>
        <w:tc>
          <w:tcPr>
            <w:tcW w:w="0" w:type="auto"/>
            <w:shd w:val="clear" w:color="auto" w:fill="FFFFFF"/>
            <w:vAlign w:val="center"/>
          </w:tcPr>
          <w:p w:rsidR="00AB79DD" w:rsidRPr="000F3F96" w:rsidRDefault="00AB79DD" w:rsidP="00B37877">
            <w:pPr>
              <w:autoSpaceDE w:val="0"/>
              <w:autoSpaceDN w:val="0"/>
              <w:adjustRightInd w:val="0"/>
              <w:spacing w:line="320" w:lineRule="atLeast"/>
              <w:ind w:left="60" w:right="60"/>
              <w:rPr>
                <w:rFonts w:asciiTheme="majorBidi" w:hAnsiTheme="majorBidi" w:cstheme="majorBidi"/>
                <w:b/>
                <w:bCs/>
                <w:color w:val="000000"/>
                <w:sz w:val="18"/>
                <w:szCs w:val="18"/>
              </w:rPr>
            </w:pPr>
            <w:r w:rsidRPr="000F3F96">
              <w:rPr>
                <w:rFonts w:asciiTheme="majorBidi" w:hAnsiTheme="majorBidi" w:cstheme="majorBidi"/>
                <w:b/>
                <w:bCs/>
                <w:color w:val="000000"/>
                <w:sz w:val="18"/>
                <w:szCs w:val="18"/>
              </w:rPr>
              <w:t>Beating for not taking permission to go out (25)</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r0.4</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0.075</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r-0.6</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0.002</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r-0.5</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0.01</w:t>
            </w:r>
          </w:p>
        </w:tc>
      </w:tr>
      <w:tr w:rsidR="00AB79DD" w:rsidRPr="004976AC" w:rsidTr="00B37877">
        <w:trPr>
          <w:cantSplit/>
        </w:trPr>
        <w:tc>
          <w:tcPr>
            <w:tcW w:w="0" w:type="auto"/>
            <w:shd w:val="clear" w:color="auto" w:fill="FFFFFF"/>
            <w:vAlign w:val="center"/>
          </w:tcPr>
          <w:p w:rsidR="00AB79DD" w:rsidRPr="000F3F96" w:rsidRDefault="00AB79DD" w:rsidP="00B37877">
            <w:pPr>
              <w:autoSpaceDE w:val="0"/>
              <w:autoSpaceDN w:val="0"/>
              <w:adjustRightInd w:val="0"/>
              <w:spacing w:line="320" w:lineRule="atLeast"/>
              <w:ind w:left="60" w:right="60"/>
              <w:rPr>
                <w:rFonts w:asciiTheme="majorBidi" w:hAnsiTheme="majorBidi" w:cstheme="majorBidi"/>
                <w:b/>
                <w:bCs/>
                <w:color w:val="000000"/>
                <w:sz w:val="18"/>
                <w:szCs w:val="18"/>
              </w:rPr>
            </w:pPr>
            <w:r w:rsidRPr="000F3F96">
              <w:rPr>
                <w:rFonts w:asciiTheme="majorBidi" w:hAnsiTheme="majorBidi" w:cstheme="majorBidi"/>
                <w:b/>
                <w:bCs/>
                <w:color w:val="000000"/>
                <w:sz w:val="18"/>
                <w:szCs w:val="18"/>
              </w:rPr>
              <w:t>Beating for child neglect (25)</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r0.3</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0.176</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r-0.6</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0.001</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r-0.6</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0.001</w:t>
            </w:r>
          </w:p>
        </w:tc>
      </w:tr>
      <w:tr w:rsidR="00AB79DD" w:rsidRPr="004976AC" w:rsidTr="00B37877">
        <w:trPr>
          <w:cantSplit/>
        </w:trPr>
        <w:tc>
          <w:tcPr>
            <w:tcW w:w="0" w:type="auto"/>
            <w:shd w:val="clear" w:color="auto" w:fill="FFFFFF"/>
            <w:vAlign w:val="center"/>
          </w:tcPr>
          <w:p w:rsidR="00AB79DD" w:rsidRPr="000F3F96" w:rsidRDefault="00AB79DD" w:rsidP="00B37877">
            <w:pPr>
              <w:autoSpaceDE w:val="0"/>
              <w:autoSpaceDN w:val="0"/>
              <w:adjustRightInd w:val="0"/>
              <w:spacing w:line="320" w:lineRule="atLeast"/>
              <w:ind w:left="60" w:right="60"/>
              <w:rPr>
                <w:rFonts w:asciiTheme="majorBidi" w:hAnsiTheme="majorBidi" w:cstheme="majorBidi"/>
                <w:b/>
                <w:bCs/>
                <w:color w:val="000000"/>
                <w:sz w:val="18"/>
                <w:szCs w:val="18"/>
              </w:rPr>
            </w:pPr>
            <w:r w:rsidRPr="000F3F96">
              <w:rPr>
                <w:rFonts w:asciiTheme="majorBidi" w:hAnsiTheme="majorBidi" w:cstheme="majorBidi"/>
                <w:b/>
                <w:bCs/>
                <w:color w:val="000000"/>
                <w:sz w:val="18"/>
                <w:szCs w:val="18"/>
              </w:rPr>
              <w:t>Beating for child neglect (25)</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r0.3</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0.1</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r-0.5</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0.007</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r-0.5</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0.02</w:t>
            </w:r>
          </w:p>
        </w:tc>
      </w:tr>
      <w:tr w:rsidR="00AB79DD" w:rsidRPr="004976AC" w:rsidTr="00B37877">
        <w:trPr>
          <w:cantSplit/>
        </w:trPr>
        <w:tc>
          <w:tcPr>
            <w:tcW w:w="0" w:type="auto"/>
            <w:shd w:val="clear" w:color="auto" w:fill="FFFFFF"/>
            <w:vAlign w:val="center"/>
          </w:tcPr>
          <w:p w:rsidR="00AB79DD" w:rsidRPr="000F3F96" w:rsidRDefault="00AB79DD" w:rsidP="00B37877">
            <w:pPr>
              <w:autoSpaceDE w:val="0"/>
              <w:autoSpaceDN w:val="0"/>
              <w:adjustRightInd w:val="0"/>
              <w:spacing w:line="320" w:lineRule="atLeast"/>
              <w:ind w:left="60" w:right="60"/>
              <w:rPr>
                <w:rFonts w:asciiTheme="majorBidi" w:hAnsiTheme="majorBidi" w:cstheme="majorBidi"/>
                <w:b/>
                <w:bCs/>
                <w:color w:val="000000"/>
                <w:sz w:val="18"/>
                <w:szCs w:val="18"/>
              </w:rPr>
            </w:pPr>
            <w:r w:rsidRPr="000F3F96">
              <w:rPr>
                <w:rFonts w:asciiTheme="majorBidi" w:hAnsiTheme="majorBidi" w:cstheme="majorBidi"/>
                <w:b/>
                <w:bCs/>
                <w:color w:val="000000"/>
                <w:sz w:val="18"/>
                <w:szCs w:val="18"/>
              </w:rPr>
              <w:t>Beating for refusal to have sex (25)</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r0.1</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0.491</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r-0.6</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0.003</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r-0.7</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0.000</w:t>
            </w:r>
          </w:p>
        </w:tc>
      </w:tr>
      <w:tr w:rsidR="00AB79DD" w:rsidRPr="004976AC" w:rsidTr="00B37877">
        <w:trPr>
          <w:cantSplit/>
        </w:trPr>
        <w:tc>
          <w:tcPr>
            <w:tcW w:w="0" w:type="auto"/>
            <w:shd w:val="clear" w:color="auto" w:fill="FFFFFF"/>
            <w:vAlign w:val="center"/>
          </w:tcPr>
          <w:p w:rsidR="00AB79DD" w:rsidRPr="000F3F96" w:rsidRDefault="00AB79DD" w:rsidP="00B37877">
            <w:pPr>
              <w:autoSpaceDE w:val="0"/>
              <w:autoSpaceDN w:val="0"/>
              <w:adjustRightInd w:val="0"/>
              <w:spacing w:line="320" w:lineRule="atLeast"/>
              <w:ind w:left="60" w:right="60"/>
              <w:rPr>
                <w:rFonts w:asciiTheme="majorBidi" w:hAnsiTheme="majorBidi" w:cstheme="majorBidi"/>
                <w:b/>
                <w:bCs/>
                <w:color w:val="000000"/>
                <w:sz w:val="18"/>
                <w:szCs w:val="18"/>
              </w:rPr>
            </w:pPr>
            <w:r w:rsidRPr="000F3F96">
              <w:rPr>
                <w:rFonts w:asciiTheme="majorBidi" w:hAnsiTheme="majorBidi" w:cstheme="majorBidi"/>
                <w:b/>
                <w:bCs/>
                <w:color w:val="000000"/>
                <w:sz w:val="18"/>
                <w:szCs w:val="18"/>
              </w:rPr>
              <w:t>Beating for bu</w:t>
            </w:r>
            <w:r>
              <w:rPr>
                <w:rFonts w:asciiTheme="majorBidi" w:hAnsiTheme="majorBidi" w:cstheme="majorBidi"/>
                <w:b/>
                <w:bCs/>
                <w:color w:val="000000"/>
                <w:sz w:val="18"/>
                <w:szCs w:val="18"/>
              </w:rPr>
              <w:t>rn</w:t>
            </w:r>
            <w:r w:rsidRPr="000F3F96">
              <w:rPr>
                <w:rFonts w:asciiTheme="majorBidi" w:hAnsiTheme="majorBidi" w:cstheme="majorBidi"/>
                <w:b/>
                <w:bCs/>
                <w:color w:val="000000"/>
                <w:sz w:val="18"/>
                <w:szCs w:val="18"/>
              </w:rPr>
              <w:t>ing food (25)</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r0.3</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0.2</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r-0.6</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0.004</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r-0.6</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0.004</w:t>
            </w:r>
          </w:p>
        </w:tc>
      </w:tr>
      <w:tr w:rsidR="00AB79DD" w:rsidRPr="004976AC" w:rsidTr="00B37877">
        <w:trPr>
          <w:cantSplit/>
        </w:trPr>
        <w:tc>
          <w:tcPr>
            <w:tcW w:w="0" w:type="auto"/>
            <w:shd w:val="clear" w:color="auto" w:fill="FFFFFF"/>
            <w:vAlign w:val="center"/>
          </w:tcPr>
          <w:p w:rsidR="00AB79DD" w:rsidRPr="000F3F96" w:rsidRDefault="00AB79DD" w:rsidP="00B37877">
            <w:pPr>
              <w:autoSpaceDE w:val="0"/>
              <w:autoSpaceDN w:val="0"/>
              <w:adjustRightInd w:val="0"/>
              <w:spacing w:line="320" w:lineRule="atLeast"/>
              <w:ind w:left="60" w:right="60"/>
              <w:rPr>
                <w:rFonts w:asciiTheme="majorBidi" w:hAnsiTheme="majorBidi" w:cstheme="majorBidi"/>
                <w:b/>
                <w:bCs/>
                <w:color w:val="000000"/>
                <w:sz w:val="18"/>
                <w:szCs w:val="18"/>
              </w:rPr>
            </w:pPr>
            <w:r w:rsidRPr="000F3F96">
              <w:rPr>
                <w:rFonts w:asciiTheme="majorBidi" w:hAnsiTheme="majorBidi" w:cstheme="majorBidi"/>
                <w:b/>
                <w:bCs/>
                <w:color w:val="000000"/>
                <w:sz w:val="18"/>
                <w:szCs w:val="18"/>
              </w:rPr>
              <w:t>Beating for any reason (25)</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r0.3</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0.2</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r-0.6</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0.004</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r-0.6</w:t>
            </w:r>
            <w:r w:rsidRPr="004976AC">
              <w:rPr>
                <w:rFonts w:asciiTheme="majorBidi" w:hAnsiTheme="majorBidi" w:cstheme="majorBidi"/>
                <w:color w:val="000000"/>
                <w:sz w:val="22"/>
                <w:szCs w:val="22"/>
                <w:vertAlign w:val="superscript"/>
              </w:rPr>
              <w:t>**</w:t>
            </w:r>
          </w:p>
        </w:tc>
        <w:tc>
          <w:tcPr>
            <w:tcW w:w="0" w:type="auto"/>
            <w:shd w:val="clear" w:color="auto" w:fill="FFFFFF"/>
            <w:vAlign w:val="center"/>
          </w:tcPr>
          <w:p w:rsidR="00AB79DD" w:rsidRPr="004976AC"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4976AC">
              <w:rPr>
                <w:rFonts w:asciiTheme="majorBidi" w:hAnsiTheme="majorBidi" w:cstheme="majorBidi"/>
                <w:color w:val="000000"/>
                <w:sz w:val="22"/>
                <w:szCs w:val="22"/>
              </w:rPr>
              <w:t>0.004</w:t>
            </w:r>
          </w:p>
        </w:tc>
      </w:tr>
    </w:tbl>
    <w:p w:rsidR="00AB79DD" w:rsidRDefault="00AB79DD" w:rsidP="00AB79DD">
      <w:pPr>
        <w:rPr>
          <w:rFonts w:asciiTheme="majorBidi" w:hAnsiTheme="majorBidi" w:cstheme="majorBidi"/>
          <w:color w:val="000000"/>
          <w:sz w:val="22"/>
          <w:szCs w:val="22"/>
        </w:rPr>
      </w:pPr>
      <w:r w:rsidRPr="004976AC">
        <w:rPr>
          <w:rFonts w:asciiTheme="majorBidi" w:hAnsiTheme="majorBidi" w:cstheme="majorBidi"/>
          <w:color w:val="000000"/>
          <w:sz w:val="22"/>
          <w:szCs w:val="22"/>
        </w:rPr>
        <w:t>Pearson Correlation (r), Significant *, highly significant **</w:t>
      </w:r>
    </w:p>
    <w:p w:rsidR="00AB79DD" w:rsidRDefault="00AB79DD" w:rsidP="00AB79DD">
      <w:pPr>
        <w:rPr>
          <w:rFonts w:asciiTheme="majorBidi" w:hAnsiTheme="majorBidi" w:cstheme="majorBidi"/>
          <w:color w:val="000000"/>
          <w:sz w:val="22"/>
          <w:szCs w:val="22"/>
        </w:rPr>
      </w:pPr>
    </w:p>
    <w:p w:rsidR="00AB79DD" w:rsidRPr="000F3F96" w:rsidRDefault="00AB79DD" w:rsidP="00AB79DD">
      <w:pPr>
        <w:rPr>
          <w:rFonts w:asciiTheme="majorBidi" w:hAnsiTheme="majorBidi" w:cstheme="majorBidi"/>
          <w:b/>
          <w:bCs/>
          <w:sz w:val="20"/>
          <w:szCs w:val="20"/>
        </w:rPr>
      </w:pPr>
      <w:r w:rsidRPr="000F3F96">
        <w:rPr>
          <w:rFonts w:asciiTheme="majorBidi" w:hAnsiTheme="majorBidi" w:cstheme="majorBidi"/>
          <w:b/>
          <w:bCs/>
          <w:sz w:val="20"/>
          <w:szCs w:val="20"/>
        </w:rPr>
        <w:t>Table (3) Correlating the reason for demand of contraceptives with practices and beliefs about circumcision among ever married women aged (15 to 49 years) by governorate in Egypt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07"/>
        <w:gridCol w:w="1521"/>
        <w:gridCol w:w="1050"/>
        <w:gridCol w:w="1838"/>
        <w:gridCol w:w="1121"/>
      </w:tblGrid>
      <w:tr w:rsidR="00AB79DD" w:rsidRPr="002939B7" w:rsidTr="00B37877">
        <w:trPr>
          <w:cantSplit/>
        </w:trPr>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rPr>
                <w:rFonts w:asciiTheme="majorBidi" w:hAnsiTheme="majorBidi" w:cstheme="majorBidi"/>
                <w:color w:val="000000"/>
                <w:sz w:val="22"/>
                <w:szCs w:val="22"/>
              </w:rPr>
            </w:pPr>
            <w:r w:rsidRPr="00C97448">
              <w:rPr>
                <w:rFonts w:asciiTheme="majorBidi" w:hAnsiTheme="majorBidi" w:cstheme="majorBidi"/>
                <w:color w:val="000000"/>
                <w:sz w:val="22"/>
                <w:szCs w:val="22"/>
              </w:rPr>
              <w:t>Circumcision/ Demand for family planning method</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For birth spacing (r)</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Sig. (2-tailed</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For Family Planning ( r )</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Sig. (2-tailed)</w:t>
            </w:r>
          </w:p>
        </w:tc>
      </w:tr>
      <w:tr w:rsidR="00AB79DD" w:rsidRPr="002939B7" w:rsidTr="00B37877">
        <w:trPr>
          <w:cantSplit/>
        </w:trPr>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rPr>
                <w:rFonts w:asciiTheme="majorBidi" w:hAnsiTheme="majorBidi" w:cstheme="majorBidi"/>
                <w:color w:val="000000"/>
                <w:sz w:val="22"/>
                <w:szCs w:val="22"/>
              </w:rPr>
            </w:pPr>
            <w:r w:rsidRPr="00C97448">
              <w:rPr>
                <w:rFonts w:asciiTheme="majorBidi" w:hAnsiTheme="majorBidi" w:cstheme="majorBidi"/>
                <w:color w:val="000000"/>
                <w:sz w:val="22"/>
                <w:szCs w:val="22"/>
              </w:rPr>
              <w:t xml:space="preserve">Prevalence of </w:t>
            </w:r>
            <w:r>
              <w:rPr>
                <w:rFonts w:asciiTheme="majorBidi" w:hAnsiTheme="majorBidi" w:cstheme="majorBidi"/>
                <w:color w:val="000000"/>
                <w:sz w:val="22"/>
                <w:szCs w:val="22"/>
              </w:rPr>
              <w:t>c</w:t>
            </w:r>
            <w:r w:rsidRPr="00C97448">
              <w:rPr>
                <w:rFonts w:asciiTheme="majorBidi" w:hAnsiTheme="majorBidi" w:cstheme="majorBidi"/>
                <w:color w:val="000000"/>
                <w:sz w:val="22"/>
                <w:szCs w:val="22"/>
              </w:rPr>
              <w:t>ircumcision in women (25)</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r0.3</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0.2</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r0.11</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0.6</w:t>
            </w:r>
          </w:p>
        </w:tc>
      </w:tr>
      <w:tr w:rsidR="00AB79DD" w:rsidRPr="002939B7" w:rsidTr="00B37877">
        <w:trPr>
          <w:cantSplit/>
        </w:trPr>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rPr>
                <w:rFonts w:asciiTheme="majorBidi" w:hAnsiTheme="majorBidi" w:cstheme="majorBidi"/>
                <w:color w:val="000000"/>
                <w:sz w:val="22"/>
                <w:szCs w:val="22"/>
              </w:rPr>
            </w:pPr>
            <w:r w:rsidRPr="00C97448">
              <w:rPr>
                <w:rFonts w:asciiTheme="majorBidi" w:hAnsiTheme="majorBidi" w:cstheme="majorBidi"/>
                <w:color w:val="000000"/>
                <w:sz w:val="22"/>
                <w:szCs w:val="22"/>
              </w:rPr>
              <w:t>Daughter circumcised  (25)</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r0.5</w:t>
            </w:r>
            <w:r w:rsidRPr="00C97448">
              <w:rPr>
                <w:rFonts w:asciiTheme="majorBidi" w:hAnsiTheme="majorBidi" w:cstheme="majorBidi"/>
                <w:color w:val="000000"/>
                <w:sz w:val="28"/>
                <w:szCs w:val="28"/>
                <w:vertAlign w:val="superscript"/>
              </w:rPr>
              <w:t>*</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0.02</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r-0.6</w:t>
            </w:r>
            <w:r w:rsidRPr="00C97448">
              <w:rPr>
                <w:rFonts w:asciiTheme="majorBidi" w:hAnsiTheme="majorBidi" w:cstheme="majorBidi"/>
                <w:color w:val="000000"/>
                <w:sz w:val="28"/>
                <w:szCs w:val="28"/>
                <w:vertAlign w:val="superscript"/>
              </w:rPr>
              <w:t>**</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0.002</w:t>
            </w:r>
          </w:p>
        </w:tc>
      </w:tr>
      <w:tr w:rsidR="00AB79DD" w:rsidRPr="002939B7" w:rsidTr="00B37877">
        <w:trPr>
          <w:cantSplit/>
        </w:trPr>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rPr>
                <w:rFonts w:asciiTheme="majorBidi" w:hAnsiTheme="majorBidi" w:cstheme="majorBidi"/>
                <w:color w:val="000000"/>
                <w:sz w:val="22"/>
                <w:szCs w:val="22"/>
              </w:rPr>
            </w:pPr>
            <w:r w:rsidRPr="00C97448">
              <w:rPr>
                <w:rFonts w:asciiTheme="majorBidi" w:hAnsiTheme="majorBidi" w:cstheme="majorBidi"/>
                <w:color w:val="000000"/>
                <w:sz w:val="22"/>
                <w:szCs w:val="22"/>
              </w:rPr>
              <w:t>Intention  to circumcise daughter (25)</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r0.180</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00.4</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r-0.05</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0.8</w:t>
            </w:r>
          </w:p>
        </w:tc>
      </w:tr>
      <w:tr w:rsidR="00AB79DD" w:rsidRPr="002939B7" w:rsidTr="00B37877">
        <w:trPr>
          <w:cantSplit/>
        </w:trPr>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rPr>
                <w:rFonts w:asciiTheme="majorBidi" w:hAnsiTheme="majorBidi" w:cstheme="majorBidi"/>
                <w:color w:val="000000"/>
                <w:sz w:val="22"/>
                <w:szCs w:val="22"/>
              </w:rPr>
            </w:pPr>
            <w:r w:rsidRPr="00C97448">
              <w:rPr>
                <w:rFonts w:asciiTheme="majorBidi" w:hAnsiTheme="majorBidi" w:cstheme="majorBidi"/>
                <w:color w:val="000000"/>
                <w:sz w:val="22"/>
                <w:szCs w:val="22"/>
              </w:rPr>
              <w:t>Expected to circumcise daughter (25)</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w:t>
            </w:r>
            <w:r>
              <w:rPr>
                <w:rFonts w:asciiTheme="majorBidi" w:hAnsiTheme="majorBidi" w:cstheme="majorBidi"/>
                <w:color w:val="000000"/>
                <w:sz w:val="22"/>
                <w:szCs w:val="22"/>
              </w:rPr>
              <w:t>4</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0.062</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r-0.4</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0.053</w:t>
            </w:r>
          </w:p>
        </w:tc>
      </w:tr>
      <w:tr w:rsidR="00AB79DD" w:rsidRPr="002939B7" w:rsidTr="00B37877">
        <w:trPr>
          <w:cantSplit/>
        </w:trPr>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rPr>
                <w:rFonts w:asciiTheme="majorBidi" w:hAnsiTheme="majorBidi" w:cstheme="majorBidi"/>
                <w:color w:val="000000"/>
                <w:sz w:val="22"/>
                <w:szCs w:val="22"/>
              </w:rPr>
            </w:pPr>
            <w:r w:rsidRPr="00C97448">
              <w:rPr>
                <w:rFonts w:asciiTheme="majorBidi" w:hAnsiTheme="majorBidi" w:cstheme="majorBidi"/>
                <w:color w:val="000000"/>
                <w:sz w:val="22"/>
                <w:szCs w:val="22"/>
              </w:rPr>
              <w:t>Believes men want this practice to continue (25)</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r0.34</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0.101</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r-0.34</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0.102</w:t>
            </w:r>
          </w:p>
        </w:tc>
      </w:tr>
      <w:tr w:rsidR="00AB79DD" w:rsidRPr="002939B7" w:rsidTr="00B37877">
        <w:trPr>
          <w:cantSplit/>
        </w:trPr>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rPr>
                <w:rFonts w:asciiTheme="majorBidi" w:hAnsiTheme="majorBidi" w:cstheme="majorBidi"/>
                <w:color w:val="000000"/>
                <w:sz w:val="22"/>
                <w:szCs w:val="22"/>
              </w:rPr>
            </w:pPr>
            <w:r w:rsidRPr="00C97448">
              <w:rPr>
                <w:rFonts w:asciiTheme="majorBidi" w:hAnsiTheme="majorBidi" w:cstheme="majorBidi"/>
                <w:color w:val="000000"/>
                <w:sz w:val="22"/>
                <w:szCs w:val="22"/>
              </w:rPr>
              <w:t>Agrees that husband prefers it (25</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r0.4</w:t>
            </w:r>
            <w:r w:rsidRPr="00C97448">
              <w:rPr>
                <w:rFonts w:asciiTheme="majorBidi" w:hAnsiTheme="majorBidi" w:cstheme="majorBidi"/>
                <w:color w:val="000000"/>
                <w:sz w:val="28"/>
                <w:szCs w:val="28"/>
                <w:vertAlign w:val="superscript"/>
              </w:rPr>
              <w:t>*</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0.04</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r-0.3</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0.10</w:t>
            </w:r>
          </w:p>
        </w:tc>
      </w:tr>
      <w:tr w:rsidR="00AB79DD" w:rsidRPr="002939B7" w:rsidTr="00B37877">
        <w:trPr>
          <w:cantSplit/>
        </w:trPr>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rPr>
                <w:rFonts w:asciiTheme="majorBidi" w:hAnsiTheme="majorBidi" w:cstheme="majorBidi"/>
                <w:color w:val="000000"/>
                <w:sz w:val="22"/>
                <w:szCs w:val="22"/>
              </w:rPr>
            </w:pPr>
            <w:r w:rsidRPr="00C97448">
              <w:rPr>
                <w:rFonts w:asciiTheme="majorBidi" w:hAnsiTheme="majorBidi" w:cstheme="majorBidi"/>
                <w:color w:val="000000"/>
                <w:sz w:val="22"/>
                <w:szCs w:val="22"/>
              </w:rPr>
              <w:t>Agrees that daughter can die (25)</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r-0.04</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0.8</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0.164</w:t>
            </w:r>
          </w:p>
        </w:tc>
        <w:tc>
          <w:tcPr>
            <w:tcW w:w="0" w:type="auto"/>
            <w:shd w:val="clear" w:color="auto" w:fill="FFFFFF"/>
            <w:vAlign w:val="center"/>
          </w:tcPr>
          <w:p w:rsidR="00AB79DD" w:rsidRPr="00C97448" w:rsidRDefault="00AB79DD" w:rsidP="00B37877">
            <w:pPr>
              <w:autoSpaceDE w:val="0"/>
              <w:autoSpaceDN w:val="0"/>
              <w:adjustRightInd w:val="0"/>
              <w:spacing w:line="320" w:lineRule="atLeast"/>
              <w:ind w:left="60" w:right="60"/>
              <w:jc w:val="center"/>
              <w:rPr>
                <w:rFonts w:asciiTheme="majorBidi" w:hAnsiTheme="majorBidi" w:cstheme="majorBidi"/>
                <w:color w:val="000000"/>
                <w:sz w:val="22"/>
                <w:szCs w:val="22"/>
              </w:rPr>
            </w:pPr>
            <w:r w:rsidRPr="00C97448">
              <w:rPr>
                <w:rFonts w:asciiTheme="majorBidi" w:hAnsiTheme="majorBidi" w:cstheme="majorBidi"/>
                <w:color w:val="000000"/>
                <w:sz w:val="22"/>
                <w:szCs w:val="22"/>
              </w:rPr>
              <w:t>0.433</w:t>
            </w:r>
          </w:p>
        </w:tc>
      </w:tr>
    </w:tbl>
    <w:p w:rsidR="00AB79DD" w:rsidRPr="004976AC" w:rsidRDefault="00AB79DD" w:rsidP="00AB79DD">
      <w:pPr>
        <w:rPr>
          <w:rFonts w:asciiTheme="majorBidi" w:hAnsiTheme="majorBidi" w:cstheme="majorBidi"/>
        </w:rPr>
      </w:pPr>
      <w:r w:rsidRPr="002939B7">
        <w:rPr>
          <w:rFonts w:ascii="Arial" w:hAnsi="Arial" w:cs="Arial"/>
          <w:color w:val="000000"/>
          <w:sz w:val="18"/>
          <w:szCs w:val="18"/>
        </w:rPr>
        <w:t>Pearson Correlation</w:t>
      </w:r>
      <w:r>
        <w:rPr>
          <w:rFonts w:ascii="Arial" w:hAnsi="Arial" w:cs="Arial"/>
          <w:color w:val="000000"/>
          <w:sz w:val="18"/>
          <w:szCs w:val="18"/>
        </w:rPr>
        <w:t xml:space="preserve"> (r)</w:t>
      </w:r>
    </w:p>
    <w:p w:rsidR="00AB79DD" w:rsidRPr="004976AC" w:rsidRDefault="00AB79DD" w:rsidP="00AB79DD">
      <w:pPr>
        <w:rPr>
          <w:rFonts w:asciiTheme="majorBidi" w:hAnsiTheme="majorBidi" w:cstheme="majorBidi"/>
        </w:rPr>
      </w:pPr>
    </w:p>
    <w:p w:rsidR="00AB79DD" w:rsidRDefault="00AB79DD" w:rsidP="00AB79DD">
      <w:pPr>
        <w:rPr>
          <w:b/>
        </w:rPr>
        <w:sectPr w:rsidR="00AB79DD" w:rsidSect="00361834">
          <w:type w:val="continuous"/>
          <w:pgSz w:w="11907" w:h="16840" w:code="9"/>
          <w:pgMar w:top="1440" w:right="1440" w:bottom="1440" w:left="1440" w:header="709" w:footer="851" w:gutter="0"/>
          <w:cols w:space="425"/>
          <w:rtlGutter/>
          <w:docGrid w:linePitch="360"/>
        </w:sectPr>
      </w:pPr>
    </w:p>
    <w:p w:rsidR="00AB79DD" w:rsidRPr="000F3F96" w:rsidRDefault="00AB79DD" w:rsidP="00AB79DD">
      <w:pPr>
        <w:rPr>
          <w:rFonts w:asciiTheme="majorBidi" w:hAnsiTheme="majorBidi" w:cstheme="majorBidi"/>
          <w:b/>
          <w:bCs/>
          <w:sz w:val="20"/>
          <w:szCs w:val="20"/>
        </w:rPr>
      </w:pPr>
      <w:r w:rsidRPr="000F3F96">
        <w:rPr>
          <w:rFonts w:asciiTheme="majorBidi" w:hAnsiTheme="majorBidi" w:cstheme="majorBidi"/>
          <w:b/>
          <w:bCs/>
          <w:sz w:val="20"/>
          <w:szCs w:val="20"/>
        </w:rPr>
        <w:lastRenderedPageBreak/>
        <w:t>Table (4) Correlating women health status with domestic violence and attitudes towards circumcision</w:t>
      </w:r>
    </w:p>
    <w:tbl>
      <w:tblPr>
        <w:tblW w:w="4989"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6"/>
        <w:gridCol w:w="1095"/>
        <w:gridCol w:w="1037"/>
        <w:gridCol w:w="894"/>
        <w:gridCol w:w="1619"/>
        <w:gridCol w:w="1262"/>
        <w:gridCol w:w="1684"/>
      </w:tblGrid>
      <w:tr w:rsidR="00AB79DD" w:rsidRPr="00B064B2" w:rsidTr="00B37877">
        <w:trPr>
          <w:cantSplit/>
        </w:trPr>
        <w:tc>
          <w:tcPr>
            <w:tcW w:w="1397" w:type="pct"/>
            <w:gridSpan w:val="2"/>
            <w:tcBorders>
              <w:top w:val="single" w:sz="4" w:space="0" w:color="auto"/>
              <w:left w:val="single" w:sz="4" w:space="0" w:color="auto"/>
              <w:bottom w:val="single" w:sz="4" w:space="0" w:color="auto"/>
              <w:right w:val="single" w:sz="4" w:space="0" w:color="auto"/>
            </w:tcBorders>
            <w:shd w:val="clear" w:color="auto" w:fill="FFFFFF"/>
          </w:tcPr>
          <w:p w:rsidR="00AB79DD" w:rsidRPr="00B064B2" w:rsidRDefault="00AB79DD" w:rsidP="00B37877">
            <w:pPr>
              <w:autoSpaceDE w:val="0"/>
              <w:autoSpaceDN w:val="0"/>
              <w:adjustRightInd w:val="0"/>
              <w:spacing w:line="320" w:lineRule="atLeast"/>
              <w:ind w:left="60" w:right="60"/>
              <w:rPr>
                <w:rFonts w:ascii="Arial" w:hAnsi="Arial" w:cs="Arial"/>
                <w:color w:val="000000"/>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Demand Birth spacing</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Demand family planning</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B064B2">
              <w:rPr>
                <w:rFonts w:ascii="Arial" w:hAnsi="Arial" w:cs="Arial"/>
                <w:color w:val="000000"/>
                <w:sz w:val="18"/>
                <w:szCs w:val="18"/>
              </w:rPr>
              <w:t>Total</w:t>
            </w:r>
            <w:r>
              <w:rPr>
                <w:rFonts w:ascii="Arial" w:hAnsi="Arial" w:cs="Arial"/>
                <w:color w:val="000000"/>
                <w:sz w:val="18"/>
                <w:szCs w:val="18"/>
              </w:rPr>
              <w:t xml:space="preserve"> </w:t>
            </w:r>
            <w:r w:rsidRPr="00B064B2">
              <w:rPr>
                <w:rFonts w:ascii="Arial" w:hAnsi="Arial" w:cs="Arial"/>
                <w:color w:val="000000"/>
                <w:sz w:val="18"/>
                <w:szCs w:val="18"/>
              </w:rPr>
              <w:t>demand</w:t>
            </w:r>
            <w:r>
              <w:rPr>
                <w:rFonts w:ascii="Arial" w:hAnsi="Arial" w:cs="Arial"/>
                <w:color w:val="000000"/>
                <w:sz w:val="18"/>
                <w:szCs w:val="18"/>
              </w:rPr>
              <w:t xml:space="preserve"> </w:t>
            </w:r>
            <w:r w:rsidRPr="00B064B2">
              <w:rPr>
                <w:rFonts w:ascii="Arial" w:hAnsi="Arial" w:cs="Arial"/>
                <w:color w:val="000000"/>
                <w:sz w:val="18"/>
                <w:szCs w:val="18"/>
              </w:rPr>
              <w:t>F</w:t>
            </w:r>
            <w:r>
              <w:rPr>
                <w:rFonts w:ascii="Arial" w:hAnsi="Arial" w:cs="Arial"/>
                <w:color w:val="000000"/>
                <w:sz w:val="18"/>
                <w:szCs w:val="18"/>
              </w:rPr>
              <w:t>amily planning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B064B2">
              <w:rPr>
                <w:rFonts w:ascii="Arial" w:hAnsi="Arial" w:cs="Arial"/>
                <w:color w:val="000000"/>
                <w:sz w:val="18"/>
                <w:szCs w:val="18"/>
              </w:rPr>
              <w:t>Refuses</w:t>
            </w:r>
            <w:r>
              <w:rPr>
                <w:rFonts w:ascii="Arial" w:hAnsi="Arial" w:cs="Arial"/>
                <w:color w:val="000000"/>
                <w:sz w:val="18"/>
                <w:szCs w:val="18"/>
              </w:rPr>
              <w:t xml:space="preserve"> i</w:t>
            </w:r>
            <w:r w:rsidRPr="00B064B2">
              <w:rPr>
                <w:rFonts w:ascii="Arial" w:hAnsi="Arial" w:cs="Arial"/>
                <w:color w:val="000000"/>
                <w:sz w:val="18"/>
                <w:szCs w:val="18"/>
              </w:rPr>
              <w:t>nterc</w:t>
            </w:r>
            <w:r>
              <w:rPr>
                <w:rFonts w:ascii="Arial" w:hAnsi="Arial" w:cs="Arial"/>
                <w:color w:val="000000"/>
                <w:sz w:val="18"/>
                <w:szCs w:val="18"/>
              </w:rPr>
              <w:t>ourse</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B064B2">
              <w:rPr>
                <w:rFonts w:ascii="Arial" w:hAnsi="Arial" w:cs="Arial"/>
                <w:color w:val="000000"/>
                <w:sz w:val="18"/>
                <w:szCs w:val="18"/>
              </w:rPr>
              <w:t>Any</w:t>
            </w:r>
            <w:r>
              <w:rPr>
                <w:rFonts w:ascii="Arial" w:hAnsi="Arial" w:cs="Arial"/>
                <w:color w:val="000000"/>
                <w:sz w:val="18"/>
                <w:szCs w:val="18"/>
              </w:rPr>
              <w:t xml:space="preserve"> </w:t>
            </w:r>
            <w:r w:rsidRPr="00B064B2">
              <w:rPr>
                <w:rFonts w:ascii="Arial" w:hAnsi="Arial" w:cs="Arial"/>
                <w:color w:val="000000"/>
                <w:sz w:val="18"/>
                <w:szCs w:val="18"/>
              </w:rPr>
              <w:t>reason</w:t>
            </w:r>
            <w:r>
              <w:rPr>
                <w:rFonts w:ascii="Arial" w:hAnsi="Arial" w:cs="Arial"/>
                <w:color w:val="000000"/>
                <w:sz w:val="18"/>
                <w:szCs w:val="18"/>
              </w:rPr>
              <w:t xml:space="preserve"> for </w:t>
            </w:r>
            <w:r w:rsidRPr="00B064B2">
              <w:rPr>
                <w:rFonts w:ascii="Arial" w:hAnsi="Arial" w:cs="Arial"/>
                <w:color w:val="000000"/>
                <w:sz w:val="18"/>
                <w:szCs w:val="18"/>
              </w:rPr>
              <w:t>beating</w:t>
            </w:r>
          </w:p>
        </w:tc>
      </w:tr>
      <w:tr w:rsidR="00AB79DD" w:rsidRPr="00B064B2" w:rsidTr="00B37877">
        <w:trPr>
          <w:cantSplit/>
        </w:trPr>
        <w:tc>
          <w:tcPr>
            <w:tcW w:w="7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rPr>
                <w:rFonts w:ascii="Arial" w:hAnsi="Arial" w:cs="Arial"/>
                <w:color w:val="000000"/>
                <w:sz w:val="18"/>
                <w:szCs w:val="18"/>
              </w:rPr>
            </w:pPr>
            <w:r w:rsidRPr="00B064B2">
              <w:rPr>
                <w:rFonts w:ascii="Arial" w:hAnsi="Arial" w:cs="Arial"/>
                <w:color w:val="000000"/>
                <w:sz w:val="18"/>
                <w:szCs w:val="18"/>
              </w:rPr>
              <w:t>Ev</w:t>
            </w:r>
            <w:r>
              <w:rPr>
                <w:rFonts w:ascii="Arial" w:hAnsi="Arial" w:cs="Arial"/>
                <w:color w:val="000000"/>
                <w:sz w:val="18"/>
                <w:szCs w:val="18"/>
              </w:rPr>
              <w:t xml:space="preserve">er </w:t>
            </w:r>
            <w:r w:rsidRPr="00B064B2">
              <w:rPr>
                <w:rFonts w:ascii="Arial" w:hAnsi="Arial" w:cs="Arial"/>
                <w:color w:val="000000"/>
                <w:sz w:val="18"/>
                <w:szCs w:val="18"/>
              </w:rPr>
              <w:t>marr</w:t>
            </w:r>
            <w:r>
              <w:rPr>
                <w:rFonts w:ascii="Arial" w:hAnsi="Arial" w:cs="Arial"/>
                <w:color w:val="000000"/>
                <w:sz w:val="18"/>
                <w:szCs w:val="18"/>
              </w:rPr>
              <w:t xml:space="preserve">ied </w:t>
            </w:r>
            <w:r w:rsidRPr="00B064B2">
              <w:rPr>
                <w:rFonts w:ascii="Arial" w:hAnsi="Arial" w:cs="Arial"/>
                <w:color w:val="000000"/>
                <w:sz w:val="18"/>
                <w:szCs w:val="18"/>
              </w:rPr>
              <w:t>An</w:t>
            </w:r>
            <w:r>
              <w:rPr>
                <w:rFonts w:ascii="Arial" w:hAnsi="Arial" w:cs="Arial"/>
                <w:color w:val="000000"/>
                <w:sz w:val="18"/>
                <w:szCs w:val="18"/>
              </w:rPr>
              <w:t>emia (</w:t>
            </w:r>
            <w:r w:rsidRPr="00B064B2">
              <w:rPr>
                <w:rFonts w:ascii="Arial" w:hAnsi="Arial" w:cs="Arial"/>
                <w:color w:val="000000"/>
                <w:sz w:val="18"/>
                <w:szCs w:val="18"/>
              </w:rPr>
              <w:t>25</w:t>
            </w:r>
            <w:r>
              <w:rPr>
                <w:rFonts w:ascii="Arial" w:hAnsi="Arial" w:cs="Arial"/>
                <w:color w:val="000000"/>
                <w:sz w:val="18"/>
                <w:szCs w:val="18"/>
              </w:rPr>
              <w:t>)</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B064B2">
              <w:rPr>
                <w:rFonts w:ascii="Arial" w:hAnsi="Arial" w:cs="Arial"/>
                <w:color w:val="000000"/>
                <w:sz w:val="18"/>
                <w:szCs w:val="18"/>
              </w:rPr>
              <w:t>Pearson Correlation</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B064B2">
              <w:rPr>
                <w:rFonts w:ascii="Arial" w:hAnsi="Arial" w:cs="Arial"/>
                <w:color w:val="000000"/>
                <w:sz w:val="18"/>
                <w:szCs w:val="18"/>
              </w:rPr>
              <w:t>.43</w:t>
            </w:r>
            <w:r w:rsidRPr="00B064B2">
              <w:rPr>
                <w:rFonts w:ascii="Arial" w:hAnsi="Arial" w:cs="Arial"/>
                <w:color w:val="000000"/>
                <w:sz w:val="18"/>
                <w:szCs w:val="18"/>
                <w:vertAlign w:val="superscript"/>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w:t>
            </w:r>
            <w:r w:rsidRPr="00B064B2">
              <w:rPr>
                <w:rFonts w:ascii="Arial" w:hAnsi="Arial" w:cs="Arial"/>
                <w:color w:val="000000"/>
                <w:sz w:val="18"/>
                <w:szCs w:val="18"/>
              </w:rPr>
              <w:t>-</w:t>
            </w:r>
            <w:r>
              <w:rPr>
                <w:rFonts w:ascii="Arial" w:hAnsi="Arial" w:cs="Arial"/>
                <w:color w:val="000000"/>
                <w:sz w:val="18"/>
                <w:szCs w:val="18"/>
              </w:rPr>
              <w:t>0</w:t>
            </w:r>
            <w:r w:rsidRPr="00B064B2">
              <w:rPr>
                <w:rFonts w:ascii="Arial" w:hAnsi="Arial" w:cs="Arial"/>
                <w:color w:val="000000"/>
                <w:sz w:val="18"/>
                <w:szCs w:val="18"/>
              </w:rPr>
              <w:t>.25</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w:t>
            </w:r>
            <w:r w:rsidRPr="00B064B2">
              <w:rPr>
                <w:rFonts w:ascii="Arial" w:hAnsi="Arial" w:cs="Arial"/>
                <w:color w:val="000000"/>
                <w:sz w:val="18"/>
                <w:szCs w:val="18"/>
              </w:rPr>
              <w:t>-</w:t>
            </w:r>
            <w:r>
              <w:rPr>
                <w:rFonts w:ascii="Arial" w:hAnsi="Arial" w:cs="Arial"/>
                <w:color w:val="000000"/>
                <w:sz w:val="18"/>
                <w:szCs w:val="18"/>
              </w:rPr>
              <w:t>0</w:t>
            </w:r>
            <w:r w:rsidRPr="00B064B2">
              <w:rPr>
                <w:rFonts w:ascii="Arial" w:hAnsi="Arial" w:cs="Arial"/>
                <w:color w:val="000000"/>
                <w:sz w:val="18"/>
                <w:szCs w:val="18"/>
              </w:rPr>
              <w:t>.03</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B064B2">
              <w:rPr>
                <w:rFonts w:ascii="Arial" w:hAnsi="Arial" w:cs="Arial"/>
                <w:color w:val="000000"/>
                <w:sz w:val="18"/>
                <w:szCs w:val="18"/>
              </w:rPr>
              <w:t>.1</w:t>
            </w:r>
            <w:r>
              <w:rPr>
                <w:rFonts w:ascii="Arial" w:hAnsi="Arial" w:cs="Arial"/>
                <w:color w:val="000000"/>
                <w:sz w:val="18"/>
                <w:szCs w:val="18"/>
              </w:rPr>
              <w:t>3</w:t>
            </w:r>
          </w:p>
        </w:tc>
        <w:tc>
          <w:tcPr>
            <w:tcW w:w="935"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B064B2">
              <w:rPr>
                <w:rFonts w:ascii="Arial" w:hAnsi="Arial" w:cs="Arial"/>
                <w:color w:val="000000"/>
                <w:sz w:val="18"/>
                <w:szCs w:val="18"/>
              </w:rPr>
              <w:t>.26</w:t>
            </w:r>
          </w:p>
        </w:tc>
      </w:tr>
      <w:tr w:rsidR="00AB79DD" w:rsidRPr="00B064B2" w:rsidTr="00B37877">
        <w:trPr>
          <w:cantSplit/>
        </w:trPr>
        <w:tc>
          <w:tcPr>
            <w:tcW w:w="7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rPr>
                <w:rFonts w:ascii="Arial" w:hAnsi="Arial" w:cs="Arial"/>
                <w:color w:val="000000"/>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B064B2">
              <w:rPr>
                <w:rFonts w:ascii="Arial" w:hAnsi="Arial" w:cs="Arial"/>
                <w:color w:val="000000"/>
                <w:sz w:val="18"/>
                <w:szCs w:val="18"/>
              </w:rPr>
              <w:t>Sig. (2-tailed)</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r w:rsidRPr="00B064B2">
              <w:rPr>
                <w:rFonts w:ascii="Arial" w:hAnsi="Arial" w:cs="Arial"/>
                <w:color w:val="000000"/>
                <w:sz w:val="18"/>
                <w:szCs w:val="18"/>
              </w:rPr>
              <w:t>.031</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B064B2">
              <w:rPr>
                <w:rFonts w:ascii="Arial" w:hAnsi="Arial" w:cs="Arial"/>
                <w:color w:val="000000"/>
                <w:sz w:val="18"/>
                <w:szCs w:val="18"/>
              </w:rPr>
              <w:t>.2</w:t>
            </w:r>
            <w:r>
              <w:rPr>
                <w:rFonts w:ascii="Arial" w:hAnsi="Arial" w:cs="Arial"/>
                <w:color w:val="000000"/>
                <w:sz w:val="18"/>
                <w:szCs w:val="18"/>
              </w:rPr>
              <w:t>3</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r w:rsidRPr="00B064B2">
              <w:rPr>
                <w:rFonts w:ascii="Arial" w:hAnsi="Arial" w:cs="Arial"/>
                <w:color w:val="000000"/>
                <w:sz w:val="18"/>
                <w:szCs w:val="18"/>
              </w:rPr>
              <w:t>.</w:t>
            </w:r>
            <w:r>
              <w:rPr>
                <w:rFonts w:ascii="Arial" w:hAnsi="Arial" w:cs="Arial"/>
                <w:color w:val="000000"/>
                <w:sz w:val="18"/>
                <w:szCs w:val="18"/>
              </w:rPr>
              <w:t>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r w:rsidRPr="00B064B2">
              <w:rPr>
                <w:rFonts w:ascii="Arial" w:hAnsi="Arial" w:cs="Arial"/>
                <w:color w:val="000000"/>
                <w:sz w:val="18"/>
                <w:szCs w:val="18"/>
              </w:rPr>
              <w:t>.550</w:t>
            </w:r>
          </w:p>
        </w:tc>
        <w:tc>
          <w:tcPr>
            <w:tcW w:w="935"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r w:rsidRPr="00B064B2">
              <w:rPr>
                <w:rFonts w:ascii="Arial" w:hAnsi="Arial" w:cs="Arial"/>
                <w:color w:val="000000"/>
                <w:sz w:val="18"/>
                <w:szCs w:val="18"/>
              </w:rPr>
              <w:t>.207</w:t>
            </w:r>
          </w:p>
        </w:tc>
      </w:tr>
      <w:tr w:rsidR="00AB79DD" w:rsidRPr="00B064B2" w:rsidTr="00B37877">
        <w:trPr>
          <w:cantSplit/>
        </w:trPr>
        <w:tc>
          <w:tcPr>
            <w:tcW w:w="7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rPr>
                <w:rFonts w:ascii="Arial" w:hAnsi="Arial" w:cs="Arial"/>
                <w:color w:val="000000"/>
                <w:sz w:val="18"/>
                <w:szCs w:val="18"/>
              </w:rPr>
            </w:pPr>
            <w:r w:rsidRPr="00B064B2">
              <w:rPr>
                <w:rFonts w:ascii="Arial" w:hAnsi="Arial" w:cs="Arial"/>
                <w:color w:val="000000"/>
                <w:sz w:val="18"/>
                <w:szCs w:val="18"/>
              </w:rPr>
              <w:t>Ev</w:t>
            </w:r>
            <w:r>
              <w:rPr>
                <w:rFonts w:ascii="Arial" w:hAnsi="Arial" w:cs="Arial"/>
                <w:color w:val="000000"/>
                <w:sz w:val="18"/>
                <w:szCs w:val="18"/>
              </w:rPr>
              <w:t xml:space="preserve">er </w:t>
            </w:r>
            <w:r w:rsidRPr="00B064B2">
              <w:rPr>
                <w:rFonts w:ascii="Arial" w:hAnsi="Arial" w:cs="Arial"/>
                <w:color w:val="000000"/>
                <w:sz w:val="18"/>
                <w:szCs w:val="18"/>
              </w:rPr>
              <w:t>Married</w:t>
            </w:r>
            <w:r>
              <w:rPr>
                <w:rFonts w:ascii="Arial" w:hAnsi="Arial" w:cs="Arial"/>
                <w:color w:val="000000"/>
                <w:sz w:val="18"/>
                <w:szCs w:val="18"/>
              </w:rPr>
              <w:t xml:space="preserve"> </w:t>
            </w:r>
            <w:r w:rsidRPr="00B064B2">
              <w:rPr>
                <w:rFonts w:ascii="Arial" w:hAnsi="Arial" w:cs="Arial"/>
                <w:color w:val="000000"/>
                <w:sz w:val="18"/>
                <w:szCs w:val="18"/>
              </w:rPr>
              <w:t>obese</w:t>
            </w:r>
            <w:r>
              <w:rPr>
                <w:rFonts w:ascii="Arial" w:hAnsi="Arial" w:cs="Arial"/>
                <w:color w:val="000000"/>
                <w:sz w:val="18"/>
                <w:szCs w:val="18"/>
              </w:rPr>
              <w:t xml:space="preserve"> (</w:t>
            </w:r>
            <w:r w:rsidRPr="00B064B2">
              <w:rPr>
                <w:rFonts w:ascii="Arial" w:hAnsi="Arial" w:cs="Arial"/>
                <w:color w:val="000000"/>
                <w:sz w:val="18"/>
                <w:szCs w:val="18"/>
              </w:rPr>
              <w:t>25</w:t>
            </w:r>
            <w:r>
              <w:rPr>
                <w:rFonts w:ascii="Arial" w:hAnsi="Arial" w:cs="Arial"/>
                <w:color w:val="000000"/>
                <w:sz w:val="18"/>
                <w:szCs w:val="18"/>
              </w:rPr>
              <w:t>)</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B064B2">
              <w:rPr>
                <w:rFonts w:ascii="Arial" w:hAnsi="Arial" w:cs="Arial"/>
                <w:color w:val="000000"/>
                <w:sz w:val="18"/>
                <w:szCs w:val="18"/>
              </w:rPr>
              <w:t>Pearson Correlation</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w:t>
            </w:r>
            <w:r w:rsidRPr="00B064B2">
              <w:rPr>
                <w:rFonts w:ascii="Arial" w:hAnsi="Arial" w:cs="Arial"/>
                <w:color w:val="000000"/>
                <w:sz w:val="18"/>
                <w:szCs w:val="18"/>
              </w:rPr>
              <w:t>-</w:t>
            </w:r>
            <w:r>
              <w:rPr>
                <w:rFonts w:ascii="Arial" w:hAnsi="Arial" w:cs="Arial"/>
                <w:color w:val="000000"/>
                <w:sz w:val="18"/>
                <w:szCs w:val="18"/>
              </w:rPr>
              <w:t>0</w:t>
            </w:r>
            <w:r w:rsidRPr="00B064B2">
              <w:rPr>
                <w:rFonts w:ascii="Arial" w:hAnsi="Arial" w:cs="Arial"/>
                <w:color w:val="000000"/>
                <w:sz w:val="18"/>
                <w:szCs w:val="18"/>
              </w:rPr>
              <w:t>.356</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B064B2">
              <w:rPr>
                <w:rFonts w:ascii="Arial" w:hAnsi="Arial" w:cs="Arial"/>
                <w:color w:val="000000"/>
                <w:sz w:val="18"/>
                <w:szCs w:val="18"/>
              </w:rPr>
              <w:t>.65</w:t>
            </w:r>
            <w:r w:rsidRPr="00B064B2">
              <w:rPr>
                <w:rFonts w:ascii="Arial" w:hAnsi="Arial" w:cs="Arial"/>
                <w:color w:val="000000"/>
                <w:sz w:val="18"/>
                <w:szCs w:val="18"/>
                <w:vertAlign w:val="superscript"/>
              </w:rPr>
              <w:t>**</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B064B2">
              <w:rPr>
                <w:rFonts w:ascii="Arial" w:hAnsi="Arial" w:cs="Arial"/>
                <w:color w:val="000000"/>
                <w:sz w:val="18"/>
                <w:szCs w:val="18"/>
              </w:rPr>
              <w:t>.6</w:t>
            </w:r>
            <w:r w:rsidRPr="00B064B2">
              <w:rPr>
                <w:rFonts w:ascii="Arial" w:hAnsi="Arial" w:cs="Arial"/>
                <w:color w:val="000000"/>
                <w:sz w:val="18"/>
                <w:szCs w:val="18"/>
                <w:vertAlign w:val="superscript"/>
              </w:rPr>
              <w:t>**</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w:t>
            </w:r>
            <w:r w:rsidRPr="00B064B2">
              <w:rPr>
                <w:rFonts w:ascii="Arial" w:hAnsi="Arial" w:cs="Arial"/>
                <w:color w:val="000000"/>
                <w:sz w:val="18"/>
                <w:szCs w:val="18"/>
              </w:rPr>
              <w:t>-</w:t>
            </w:r>
            <w:r>
              <w:rPr>
                <w:rFonts w:ascii="Arial" w:hAnsi="Arial" w:cs="Arial"/>
                <w:color w:val="000000"/>
                <w:sz w:val="18"/>
                <w:szCs w:val="18"/>
              </w:rPr>
              <w:t>0</w:t>
            </w:r>
            <w:r w:rsidRPr="00B064B2">
              <w:rPr>
                <w:rFonts w:ascii="Arial" w:hAnsi="Arial" w:cs="Arial"/>
                <w:color w:val="000000"/>
                <w:sz w:val="18"/>
                <w:szCs w:val="18"/>
              </w:rPr>
              <w:t>.7</w:t>
            </w:r>
            <w:r w:rsidRPr="00B064B2">
              <w:rPr>
                <w:rFonts w:ascii="Arial" w:hAnsi="Arial" w:cs="Arial"/>
                <w:color w:val="000000"/>
                <w:sz w:val="18"/>
                <w:szCs w:val="18"/>
                <w:vertAlign w:val="superscript"/>
              </w:rPr>
              <w:t>**</w:t>
            </w:r>
          </w:p>
        </w:tc>
        <w:tc>
          <w:tcPr>
            <w:tcW w:w="935"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w:t>
            </w:r>
            <w:r w:rsidRPr="00B064B2">
              <w:rPr>
                <w:rFonts w:ascii="Arial" w:hAnsi="Arial" w:cs="Arial"/>
                <w:color w:val="000000"/>
                <w:sz w:val="18"/>
                <w:szCs w:val="18"/>
              </w:rPr>
              <w:t>-</w:t>
            </w:r>
            <w:r>
              <w:rPr>
                <w:rFonts w:ascii="Arial" w:hAnsi="Arial" w:cs="Arial"/>
                <w:color w:val="000000"/>
                <w:sz w:val="18"/>
                <w:szCs w:val="18"/>
              </w:rPr>
              <w:t>0</w:t>
            </w:r>
            <w:r w:rsidRPr="00B064B2">
              <w:rPr>
                <w:rFonts w:ascii="Arial" w:hAnsi="Arial" w:cs="Arial"/>
                <w:color w:val="000000"/>
                <w:sz w:val="18"/>
                <w:szCs w:val="18"/>
              </w:rPr>
              <w:t>.7</w:t>
            </w:r>
            <w:r w:rsidRPr="00B064B2">
              <w:rPr>
                <w:rFonts w:ascii="Arial" w:hAnsi="Arial" w:cs="Arial"/>
                <w:color w:val="000000"/>
                <w:sz w:val="18"/>
                <w:szCs w:val="18"/>
                <w:vertAlign w:val="superscript"/>
              </w:rPr>
              <w:t>**</w:t>
            </w:r>
          </w:p>
        </w:tc>
      </w:tr>
      <w:tr w:rsidR="00AB79DD" w:rsidRPr="00B064B2" w:rsidTr="00B37877">
        <w:trPr>
          <w:cantSplit/>
        </w:trPr>
        <w:tc>
          <w:tcPr>
            <w:tcW w:w="7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rPr>
                <w:rFonts w:ascii="Arial" w:hAnsi="Arial" w:cs="Arial"/>
                <w:color w:val="000000"/>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sidRPr="00B064B2">
              <w:rPr>
                <w:rFonts w:ascii="Arial" w:hAnsi="Arial" w:cs="Arial"/>
                <w:color w:val="000000"/>
                <w:sz w:val="18"/>
                <w:szCs w:val="18"/>
              </w:rPr>
              <w:t>Sig. (2-tailed)</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r0</w:t>
            </w:r>
            <w:r w:rsidRPr="00B064B2">
              <w:rPr>
                <w:rFonts w:ascii="Arial" w:hAnsi="Arial" w:cs="Arial"/>
                <w:color w:val="000000"/>
                <w:sz w:val="18"/>
                <w:szCs w:val="18"/>
              </w:rPr>
              <w:t>.08</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r w:rsidRPr="00B064B2">
              <w:rPr>
                <w:rFonts w:ascii="Arial" w:hAnsi="Arial" w:cs="Arial"/>
                <w:color w:val="000000"/>
                <w:sz w:val="18"/>
                <w:szCs w:val="18"/>
              </w:rPr>
              <w:t>.000</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r w:rsidRPr="00B064B2">
              <w:rPr>
                <w:rFonts w:ascii="Arial" w:hAnsi="Arial" w:cs="Arial"/>
                <w:color w:val="000000"/>
                <w:sz w:val="18"/>
                <w:szCs w:val="18"/>
              </w:rPr>
              <w:t>.001</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r w:rsidRPr="00B064B2">
              <w:rPr>
                <w:rFonts w:ascii="Arial" w:hAnsi="Arial" w:cs="Arial"/>
                <w:color w:val="000000"/>
                <w:sz w:val="18"/>
                <w:szCs w:val="18"/>
              </w:rPr>
              <w:t>.000</w:t>
            </w:r>
          </w:p>
        </w:tc>
        <w:tc>
          <w:tcPr>
            <w:tcW w:w="935" w:type="pct"/>
            <w:tcBorders>
              <w:top w:val="single" w:sz="4" w:space="0" w:color="auto"/>
              <w:left w:val="single" w:sz="4" w:space="0" w:color="auto"/>
              <w:bottom w:val="single" w:sz="4" w:space="0" w:color="auto"/>
              <w:right w:val="single" w:sz="4" w:space="0" w:color="auto"/>
            </w:tcBorders>
            <w:shd w:val="clear" w:color="auto" w:fill="FFFFFF"/>
            <w:vAlign w:val="center"/>
          </w:tcPr>
          <w:p w:rsidR="00AB79DD" w:rsidRPr="00B064B2" w:rsidRDefault="00AB79DD" w:rsidP="00B37877">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r w:rsidRPr="00B064B2">
              <w:rPr>
                <w:rFonts w:ascii="Arial" w:hAnsi="Arial" w:cs="Arial"/>
                <w:color w:val="000000"/>
                <w:sz w:val="18"/>
                <w:szCs w:val="18"/>
              </w:rPr>
              <w:t>.000</w:t>
            </w:r>
          </w:p>
        </w:tc>
      </w:tr>
    </w:tbl>
    <w:p w:rsidR="00AB79DD" w:rsidRPr="000F3F96" w:rsidRDefault="00AB79DD" w:rsidP="00AB79DD">
      <w:pPr>
        <w:rPr>
          <w:b/>
          <w:sz w:val="18"/>
          <w:szCs w:val="18"/>
        </w:rPr>
      </w:pPr>
      <w:r w:rsidRPr="000F3F96">
        <w:rPr>
          <w:b/>
          <w:sz w:val="18"/>
          <w:szCs w:val="18"/>
        </w:rPr>
        <w:t>P&lt;0.01= significant, P&lt;0.001: highly significant.</w:t>
      </w:r>
    </w:p>
    <w:p w:rsidR="00AB79DD" w:rsidRDefault="00AB79DD" w:rsidP="00AB79DD">
      <w:pPr>
        <w:rPr>
          <w:b/>
        </w:rPr>
      </w:pPr>
    </w:p>
    <w:p w:rsidR="00AB79DD" w:rsidRDefault="00AB79DD" w:rsidP="00AB79DD">
      <w:pPr>
        <w:rPr>
          <w:b/>
        </w:rPr>
        <w:sectPr w:rsidR="00AB79DD" w:rsidSect="00361834">
          <w:type w:val="continuous"/>
          <w:pgSz w:w="11907" w:h="16840" w:code="9"/>
          <w:pgMar w:top="1440" w:right="1440" w:bottom="1440" w:left="1440" w:header="709" w:footer="851" w:gutter="0"/>
          <w:cols w:space="425"/>
          <w:rtlGutter/>
          <w:docGrid w:linePitch="360"/>
        </w:sectPr>
      </w:pPr>
    </w:p>
    <w:p w:rsidR="00AB79DD" w:rsidRPr="00B43277" w:rsidRDefault="00AB79DD" w:rsidP="00AB79DD">
      <w:pPr>
        <w:spacing w:before="120" w:after="120"/>
        <w:rPr>
          <w:b/>
        </w:rPr>
      </w:pPr>
      <w:r w:rsidRPr="00B43277">
        <w:rPr>
          <w:b/>
        </w:rPr>
        <w:lastRenderedPageBreak/>
        <w:t>Discussion</w:t>
      </w:r>
    </w:p>
    <w:p w:rsidR="00AB79DD" w:rsidRDefault="00AB79DD" w:rsidP="00AB79DD">
      <w:pPr>
        <w:spacing w:before="120" w:after="120" w:line="360" w:lineRule="auto"/>
        <w:jc w:val="lowKashida"/>
        <w:rPr>
          <w:bCs/>
        </w:rPr>
        <w:sectPr w:rsidR="00AB79DD" w:rsidSect="00361834">
          <w:type w:val="continuous"/>
          <w:pgSz w:w="11907" w:h="16840" w:code="9"/>
          <w:pgMar w:top="1440" w:right="1440" w:bottom="1440" w:left="1440" w:header="709" w:footer="851" w:gutter="0"/>
          <w:cols w:space="425"/>
          <w:rtlGutter/>
          <w:docGrid w:linePitch="360"/>
        </w:sectPr>
      </w:pPr>
    </w:p>
    <w:p w:rsidR="00AB79DD" w:rsidRDefault="00AB79DD" w:rsidP="00AB79DD">
      <w:pPr>
        <w:spacing w:before="120" w:after="120" w:line="360" w:lineRule="auto"/>
        <w:jc w:val="lowKashida"/>
        <w:rPr>
          <w:bCs/>
          <w:sz w:val="22"/>
          <w:szCs w:val="22"/>
        </w:rPr>
      </w:pPr>
      <w:r w:rsidRPr="00533FF6">
        <w:rPr>
          <w:bCs/>
          <w:sz w:val="22"/>
          <w:szCs w:val="22"/>
        </w:rPr>
        <w:lastRenderedPageBreak/>
        <w:t xml:space="preserve">Our study showed that women aged 15-49 who agree that a husband is justified to beat the wife for refusing sex is closely associated with other reasons for beating. This was more common in UE governorates. The most common reason for beating was going out without telling husband which was again mostly in UE. </w:t>
      </w:r>
    </w:p>
    <w:p w:rsidR="00AB79DD" w:rsidRPr="00533FF6" w:rsidRDefault="00AB79DD" w:rsidP="00AB79DD">
      <w:pPr>
        <w:spacing w:before="120" w:after="120" w:line="360" w:lineRule="auto"/>
        <w:jc w:val="lowKashida"/>
        <w:rPr>
          <w:rFonts w:asciiTheme="majorBidi" w:hAnsiTheme="majorBidi" w:cstheme="majorBidi"/>
          <w:sz w:val="22"/>
          <w:szCs w:val="22"/>
        </w:rPr>
      </w:pPr>
      <w:r w:rsidRPr="00533FF6">
        <w:rPr>
          <w:bCs/>
          <w:sz w:val="22"/>
          <w:szCs w:val="22"/>
        </w:rPr>
        <w:t>In contradistinction we found</w:t>
      </w:r>
      <w:r w:rsidRPr="00533FF6">
        <w:rPr>
          <w:rFonts w:asciiTheme="majorBidi" w:hAnsiTheme="majorBidi" w:cstheme="majorBidi"/>
          <w:sz w:val="22"/>
          <w:szCs w:val="22"/>
        </w:rPr>
        <w:t xml:space="preserve"> a significant negative correlation between DVW for all of the mentioned reasons and demand for family planning. This could indicate that disempowerment and subservience of women in UE may be influencing their demand for family planning. Other workers have shown that family planning is under used in UE more than other parts of the </w:t>
      </w:r>
      <w:r>
        <w:rPr>
          <w:rFonts w:asciiTheme="majorBidi" w:hAnsiTheme="majorBidi" w:cstheme="majorBidi"/>
          <w:sz w:val="22"/>
          <w:szCs w:val="22"/>
        </w:rPr>
        <w:t xml:space="preserve">country </w:t>
      </w:r>
      <w:r w:rsidRPr="0064711C">
        <w:rPr>
          <w:rFonts w:asciiTheme="majorBidi" w:hAnsiTheme="majorBidi" w:cstheme="majorBidi"/>
          <w:b/>
          <w:bCs/>
          <w:sz w:val="22"/>
          <w:szCs w:val="22"/>
          <w:vertAlign w:val="superscript"/>
        </w:rPr>
        <w:t>(7)</w:t>
      </w:r>
      <w:r>
        <w:rPr>
          <w:rFonts w:asciiTheme="majorBidi" w:hAnsiTheme="majorBidi" w:cstheme="majorBidi"/>
          <w:sz w:val="22"/>
          <w:szCs w:val="22"/>
        </w:rPr>
        <w:t xml:space="preserve">. </w:t>
      </w:r>
    </w:p>
    <w:p w:rsidR="00AB79DD" w:rsidRPr="00533FF6" w:rsidRDefault="00AB79DD" w:rsidP="00AB79DD">
      <w:pPr>
        <w:spacing w:before="120" w:after="120" w:line="360" w:lineRule="auto"/>
        <w:jc w:val="lowKashida"/>
        <w:rPr>
          <w:sz w:val="22"/>
          <w:szCs w:val="22"/>
        </w:rPr>
      </w:pPr>
      <w:r w:rsidRPr="00533FF6">
        <w:rPr>
          <w:sz w:val="22"/>
          <w:szCs w:val="22"/>
        </w:rPr>
        <w:t xml:space="preserve">However the roots and origins of population growth cannot be attributed to the sole inadequate demand and use of contraceptives. An understanding of the dynamics of the society and human interactions that lead to such </w:t>
      </w:r>
      <w:bookmarkStart w:id="0" w:name="_GoBack"/>
      <w:bookmarkEnd w:id="0"/>
      <w:r w:rsidRPr="00533FF6">
        <w:rPr>
          <w:sz w:val="22"/>
          <w:szCs w:val="22"/>
        </w:rPr>
        <w:t>behavior is also of vital importance to solve this dilemma.</w:t>
      </w:r>
    </w:p>
    <w:p w:rsidR="00AB79DD" w:rsidRPr="00533FF6" w:rsidRDefault="00AB79DD" w:rsidP="00AB79DD">
      <w:pPr>
        <w:spacing w:before="120" w:after="120" w:line="360" w:lineRule="auto"/>
        <w:jc w:val="lowKashida"/>
        <w:rPr>
          <w:rFonts w:asciiTheme="majorBidi" w:hAnsiTheme="majorBidi" w:cstheme="majorBidi"/>
          <w:sz w:val="22"/>
          <w:szCs w:val="22"/>
        </w:rPr>
      </w:pPr>
      <w:r w:rsidRPr="00533FF6">
        <w:rPr>
          <w:bCs/>
          <w:sz w:val="22"/>
          <w:szCs w:val="22"/>
        </w:rPr>
        <w:lastRenderedPageBreak/>
        <w:t>There was some correlation but insignificant of demand of birth spacing with prevalence of circumcision among ever married women and women expected to circumcise their daughter.</w:t>
      </w:r>
    </w:p>
    <w:p w:rsidR="00AB79DD" w:rsidRPr="00533FF6" w:rsidRDefault="00AB79DD" w:rsidP="00AB79DD">
      <w:pPr>
        <w:spacing w:before="120" w:after="120" w:line="360" w:lineRule="auto"/>
        <w:jc w:val="lowKashida"/>
        <w:rPr>
          <w:sz w:val="22"/>
          <w:szCs w:val="22"/>
        </w:rPr>
      </w:pPr>
      <w:r>
        <w:rPr>
          <w:sz w:val="22"/>
          <w:szCs w:val="22"/>
        </w:rPr>
        <w:t>A likely interpretation of such findings is that</w:t>
      </w:r>
      <w:r w:rsidRPr="00533FF6">
        <w:rPr>
          <w:sz w:val="22"/>
          <w:szCs w:val="22"/>
        </w:rPr>
        <w:t xml:space="preserve"> women </w:t>
      </w:r>
      <w:r>
        <w:rPr>
          <w:sz w:val="22"/>
          <w:szCs w:val="22"/>
        </w:rPr>
        <w:t xml:space="preserve">in the Egyptian cultural norms, especially in rural settings, </w:t>
      </w:r>
      <w:r w:rsidRPr="00533FF6">
        <w:rPr>
          <w:sz w:val="22"/>
          <w:szCs w:val="22"/>
        </w:rPr>
        <w:t xml:space="preserve">are ruled by a society that places men on a pedestal as the </w:t>
      </w:r>
      <w:r>
        <w:rPr>
          <w:sz w:val="22"/>
          <w:szCs w:val="22"/>
        </w:rPr>
        <w:t xml:space="preserve">upper hand decision maker </w:t>
      </w:r>
      <w:r w:rsidRPr="00533FF6">
        <w:rPr>
          <w:sz w:val="22"/>
          <w:szCs w:val="22"/>
        </w:rPr>
        <w:t>and control button for all human reaction</w:t>
      </w:r>
      <w:r>
        <w:rPr>
          <w:sz w:val="22"/>
          <w:szCs w:val="22"/>
        </w:rPr>
        <w:t>s</w:t>
      </w:r>
      <w:r w:rsidRPr="00533FF6">
        <w:rPr>
          <w:sz w:val="22"/>
          <w:szCs w:val="22"/>
        </w:rPr>
        <w:t xml:space="preserve"> in a society. The destiny of women and daughters depends on the will of </w:t>
      </w:r>
      <w:proofErr w:type="gramStart"/>
      <w:r>
        <w:rPr>
          <w:sz w:val="22"/>
          <w:szCs w:val="22"/>
        </w:rPr>
        <w:t>the  husband</w:t>
      </w:r>
      <w:proofErr w:type="gramEnd"/>
      <w:r w:rsidRPr="00533FF6">
        <w:rPr>
          <w:sz w:val="22"/>
          <w:szCs w:val="22"/>
        </w:rPr>
        <w:t>. Women are out to please men with what they think men want and end up in many cases losing the men. In many cases women end up being submissive and men getting more violent in response, leading to vicious circle of domestic violence which is often carried down to their children and manifested by the circumcision of the daughters and physical discipline to the boys who grow to become violent husbands and fathers</w:t>
      </w:r>
      <w:r>
        <w:rPr>
          <w:sz w:val="22"/>
          <w:szCs w:val="22"/>
        </w:rPr>
        <w:t xml:space="preserve"> </w:t>
      </w:r>
      <w:r w:rsidRPr="0064711C">
        <w:rPr>
          <w:b/>
          <w:bCs/>
          <w:sz w:val="22"/>
          <w:szCs w:val="22"/>
          <w:vertAlign w:val="superscript"/>
        </w:rPr>
        <w:t>(8)</w:t>
      </w:r>
      <w:r w:rsidRPr="00533FF6">
        <w:rPr>
          <w:sz w:val="22"/>
          <w:szCs w:val="22"/>
        </w:rPr>
        <w:t>.</w:t>
      </w:r>
    </w:p>
    <w:p w:rsidR="00AB79DD" w:rsidRDefault="00AB79DD" w:rsidP="00AB79DD">
      <w:pPr>
        <w:spacing w:line="360" w:lineRule="auto"/>
        <w:jc w:val="lowKashida"/>
        <w:rPr>
          <w:bCs/>
          <w:sz w:val="22"/>
          <w:szCs w:val="22"/>
        </w:rPr>
      </w:pPr>
      <w:r>
        <w:rPr>
          <w:bCs/>
          <w:sz w:val="22"/>
          <w:szCs w:val="22"/>
        </w:rPr>
        <w:t xml:space="preserve">In this study when we </w:t>
      </w:r>
      <w:proofErr w:type="gramStart"/>
      <w:r>
        <w:rPr>
          <w:bCs/>
          <w:sz w:val="22"/>
          <w:szCs w:val="22"/>
        </w:rPr>
        <w:t>compared  the</w:t>
      </w:r>
      <w:proofErr w:type="gramEnd"/>
      <w:r>
        <w:rPr>
          <w:bCs/>
          <w:sz w:val="22"/>
          <w:szCs w:val="22"/>
        </w:rPr>
        <w:t xml:space="preserve"> demand for contraceptives for family planning vs. for </w:t>
      </w:r>
      <w:r>
        <w:rPr>
          <w:bCs/>
          <w:sz w:val="22"/>
          <w:szCs w:val="22"/>
        </w:rPr>
        <w:lastRenderedPageBreak/>
        <w:t>spacing. We found that w</w:t>
      </w:r>
      <w:r w:rsidRPr="00533FF6">
        <w:rPr>
          <w:bCs/>
          <w:sz w:val="22"/>
          <w:szCs w:val="22"/>
        </w:rPr>
        <w:t>omen who tended to demand contraceptive methods for birth spacing</w:t>
      </w:r>
      <w:r>
        <w:rPr>
          <w:bCs/>
          <w:sz w:val="22"/>
          <w:szCs w:val="22"/>
        </w:rPr>
        <w:t xml:space="preserve"> were those who </w:t>
      </w:r>
      <w:r w:rsidRPr="00533FF6">
        <w:rPr>
          <w:bCs/>
          <w:sz w:val="22"/>
          <w:szCs w:val="22"/>
        </w:rPr>
        <w:t>circumcise</w:t>
      </w:r>
      <w:r>
        <w:rPr>
          <w:bCs/>
          <w:sz w:val="22"/>
          <w:szCs w:val="22"/>
        </w:rPr>
        <w:t>d</w:t>
      </w:r>
      <w:r w:rsidRPr="00533FF6">
        <w:rPr>
          <w:bCs/>
          <w:sz w:val="22"/>
          <w:szCs w:val="22"/>
        </w:rPr>
        <w:t xml:space="preserve"> their daughter</w:t>
      </w:r>
      <w:r>
        <w:rPr>
          <w:bCs/>
          <w:sz w:val="22"/>
          <w:szCs w:val="22"/>
        </w:rPr>
        <w:t>s</w:t>
      </w:r>
      <w:r w:rsidRPr="00533FF6">
        <w:rPr>
          <w:bCs/>
          <w:sz w:val="22"/>
          <w:szCs w:val="22"/>
        </w:rPr>
        <w:t>. However there was an inverse relationship between use of</w:t>
      </w:r>
      <w:r>
        <w:rPr>
          <w:bCs/>
          <w:sz w:val="22"/>
          <w:szCs w:val="22"/>
        </w:rPr>
        <w:t xml:space="preserve"> contraceptives for</w:t>
      </w:r>
      <w:r w:rsidRPr="00533FF6">
        <w:rPr>
          <w:bCs/>
          <w:sz w:val="22"/>
          <w:szCs w:val="22"/>
        </w:rPr>
        <w:t xml:space="preserve"> family planning and circumcision of daughters. We found that the former women who demand </w:t>
      </w:r>
      <w:r>
        <w:rPr>
          <w:bCs/>
          <w:sz w:val="22"/>
          <w:szCs w:val="22"/>
        </w:rPr>
        <w:t xml:space="preserve">contraception </w:t>
      </w:r>
      <w:r w:rsidRPr="00533FF6">
        <w:rPr>
          <w:bCs/>
          <w:sz w:val="22"/>
          <w:szCs w:val="22"/>
        </w:rPr>
        <w:t xml:space="preserve">believe that husbands prefer circumcision. Hence men play an important role in the decision of women to use contraceptive methods whether for birth spacing or for family planning. Males indirectly influence their decisions through conveying their preferences to them. Other studies have shown that the preference of men for circumcision was influenced by the their </w:t>
      </w:r>
      <w:r>
        <w:rPr>
          <w:bCs/>
          <w:sz w:val="22"/>
          <w:szCs w:val="22"/>
        </w:rPr>
        <w:t xml:space="preserve">own </w:t>
      </w:r>
      <w:r w:rsidRPr="00533FF6">
        <w:rPr>
          <w:bCs/>
          <w:sz w:val="22"/>
          <w:szCs w:val="22"/>
        </w:rPr>
        <w:t>mother (the older female in the family) who inst</w:t>
      </w:r>
      <w:r>
        <w:rPr>
          <w:bCs/>
          <w:sz w:val="22"/>
          <w:szCs w:val="22"/>
        </w:rPr>
        <w:t>i</w:t>
      </w:r>
      <w:r w:rsidRPr="00533FF6">
        <w:rPr>
          <w:bCs/>
          <w:sz w:val="22"/>
          <w:szCs w:val="22"/>
        </w:rPr>
        <w:t>lled such ideas and beliefs in the</w:t>
      </w:r>
      <w:r>
        <w:rPr>
          <w:bCs/>
          <w:sz w:val="22"/>
          <w:szCs w:val="22"/>
        </w:rPr>
        <w:t xml:space="preserve"> minds of their</w:t>
      </w:r>
      <w:r w:rsidRPr="00533FF6">
        <w:rPr>
          <w:bCs/>
          <w:sz w:val="22"/>
          <w:szCs w:val="22"/>
        </w:rPr>
        <w:t xml:space="preserve"> male off springs, making them believe that girls who are not circumcised become males or that these girls become hypersexual, so</w:t>
      </w:r>
      <w:r>
        <w:rPr>
          <w:bCs/>
          <w:sz w:val="22"/>
          <w:szCs w:val="22"/>
        </w:rPr>
        <w:t xml:space="preserve"> that</w:t>
      </w:r>
      <w:r w:rsidRPr="00533FF6">
        <w:rPr>
          <w:bCs/>
          <w:sz w:val="22"/>
          <w:szCs w:val="22"/>
        </w:rPr>
        <w:t xml:space="preserve"> circumcision is a means of abating their sexual desires. Hence women become solely a vehicle for reproduction but not for fulfilling their sexual desires and this makes men seek their sexual desires elsewhere.</w:t>
      </w:r>
      <w:r>
        <w:rPr>
          <w:bCs/>
          <w:sz w:val="22"/>
          <w:szCs w:val="22"/>
        </w:rPr>
        <w:t xml:space="preserve"> This could be related to DVW which makes their sexual relationship unsatisfactory for both partners </w:t>
      </w:r>
      <w:r w:rsidRPr="0064711C">
        <w:rPr>
          <w:b/>
          <w:bCs/>
          <w:sz w:val="22"/>
          <w:szCs w:val="22"/>
          <w:vertAlign w:val="superscript"/>
        </w:rPr>
        <w:t>(</w:t>
      </w:r>
      <w:r>
        <w:rPr>
          <w:b/>
          <w:bCs/>
          <w:sz w:val="22"/>
          <w:szCs w:val="22"/>
          <w:vertAlign w:val="superscript"/>
        </w:rPr>
        <w:t>9</w:t>
      </w:r>
      <w:r w:rsidRPr="0064711C">
        <w:rPr>
          <w:b/>
          <w:bCs/>
          <w:sz w:val="22"/>
          <w:szCs w:val="22"/>
          <w:vertAlign w:val="superscript"/>
        </w:rPr>
        <w:t>)</w:t>
      </w:r>
      <w:r>
        <w:rPr>
          <w:bCs/>
          <w:sz w:val="22"/>
          <w:szCs w:val="22"/>
        </w:rPr>
        <w:t xml:space="preserve">. </w:t>
      </w:r>
    </w:p>
    <w:p w:rsidR="00AB79DD" w:rsidRPr="00533FF6" w:rsidRDefault="00AB79DD" w:rsidP="00AB79DD">
      <w:pPr>
        <w:spacing w:line="360" w:lineRule="auto"/>
        <w:jc w:val="lowKashida"/>
        <w:rPr>
          <w:bCs/>
          <w:sz w:val="22"/>
          <w:szCs w:val="22"/>
        </w:rPr>
      </w:pPr>
      <w:r w:rsidRPr="00533FF6">
        <w:rPr>
          <w:bCs/>
          <w:sz w:val="22"/>
          <w:szCs w:val="22"/>
        </w:rPr>
        <w:t xml:space="preserve"> Changing such beliefs and attitudes are challenging and requires decades of empowerment of young women through education particularly higher education and early stimulation through books, toys and exposure to responsive parenting care </w:t>
      </w:r>
      <w:r w:rsidRPr="0064711C">
        <w:rPr>
          <w:b/>
          <w:bCs/>
          <w:sz w:val="22"/>
          <w:szCs w:val="22"/>
          <w:vertAlign w:val="superscript"/>
        </w:rPr>
        <w:t>(8)</w:t>
      </w:r>
      <w:r w:rsidRPr="00533FF6">
        <w:rPr>
          <w:bCs/>
          <w:sz w:val="22"/>
          <w:szCs w:val="22"/>
        </w:rPr>
        <w:t>.</w:t>
      </w:r>
    </w:p>
    <w:p w:rsidR="00AB79DD" w:rsidRDefault="00AB79DD" w:rsidP="00AB79DD">
      <w:pPr>
        <w:spacing w:before="120" w:after="120" w:line="360" w:lineRule="auto"/>
        <w:jc w:val="lowKashida"/>
        <w:rPr>
          <w:sz w:val="22"/>
          <w:szCs w:val="22"/>
        </w:rPr>
      </w:pPr>
      <w:r w:rsidRPr="00533FF6">
        <w:rPr>
          <w:sz w:val="22"/>
          <w:szCs w:val="22"/>
        </w:rPr>
        <w:t xml:space="preserve">Domestic violence covers a broad range of outcomes – including psychological harm, </w:t>
      </w:r>
      <w:r w:rsidRPr="00533FF6">
        <w:rPr>
          <w:sz w:val="22"/>
          <w:szCs w:val="22"/>
        </w:rPr>
        <w:lastRenderedPageBreak/>
        <w:t xml:space="preserve">deprivation and </w:t>
      </w:r>
      <w:proofErr w:type="spellStart"/>
      <w:r w:rsidRPr="00533FF6">
        <w:rPr>
          <w:sz w:val="22"/>
          <w:szCs w:val="22"/>
        </w:rPr>
        <w:t>maldevelopment</w:t>
      </w:r>
      <w:proofErr w:type="spellEnd"/>
      <w:r w:rsidRPr="00533FF6">
        <w:rPr>
          <w:sz w:val="22"/>
          <w:szCs w:val="22"/>
        </w:rPr>
        <w:t>. This reflects a growing recognition among researchers and practitioners of the need to include domestic violence that does not necessarily result in injury or death, but that nonetheless poses a substantial burden of hurt or insult to women’s physical and psychological health. Many forms of violence exist against women in the form of physical, psychological, emotional and social aggressiveness that do not necessarily lead to injury, disability or death, but can disbar her from the community and impair her image of herself and her abilities and make her incapable of functioning as a mother or a wife or an individual in the society</w:t>
      </w:r>
      <w:r>
        <w:rPr>
          <w:sz w:val="22"/>
          <w:szCs w:val="22"/>
        </w:rPr>
        <w:t xml:space="preserve"> </w:t>
      </w:r>
      <w:r w:rsidRPr="0064711C">
        <w:rPr>
          <w:b/>
          <w:bCs/>
          <w:sz w:val="22"/>
          <w:szCs w:val="22"/>
          <w:vertAlign w:val="superscript"/>
        </w:rPr>
        <w:t>(</w:t>
      </w:r>
      <w:r>
        <w:rPr>
          <w:b/>
          <w:bCs/>
          <w:sz w:val="22"/>
          <w:szCs w:val="22"/>
          <w:vertAlign w:val="superscript"/>
        </w:rPr>
        <w:t>10, 11</w:t>
      </w:r>
      <w:r w:rsidRPr="0064711C">
        <w:rPr>
          <w:b/>
          <w:bCs/>
          <w:sz w:val="22"/>
          <w:szCs w:val="22"/>
          <w:vertAlign w:val="superscript"/>
        </w:rPr>
        <w:t>)</w:t>
      </w:r>
      <w:r w:rsidRPr="00533FF6">
        <w:rPr>
          <w:sz w:val="22"/>
          <w:szCs w:val="22"/>
        </w:rPr>
        <w:t xml:space="preserve">. These consequences can be immediate, as well as latent, and can last for years after the initial abuse. Defining outcomes solely in terms of injury or death thus limits the understanding of the full impact of violence on individuals, communities and society at large </w:t>
      </w:r>
      <w:r w:rsidRPr="0064711C">
        <w:rPr>
          <w:b/>
          <w:bCs/>
          <w:sz w:val="22"/>
          <w:szCs w:val="22"/>
          <w:vertAlign w:val="superscript"/>
        </w:rPr>
        <w:t>(</w:t>
      </w:r>
      <w:r>
        <w:rPr>
          <w:b/>
          <w:bCs/>
          <w:sz w:val="22"/>
          <w:szCs w:val="22"/>
          <w:vertAlign w:val="superscript"/>
        </w:rPr>
        <w:t>12</w:t>
      </w:r>
      <w:r w:rsidRPr="0064711C">
        <w:rPr>
          <w:b/>
          <w:bCs/>
          <w:sz w:val="22"/>
          <w:szCs w:val="22"/>
          <w:vertAlign w:val="superscript"/>
        </w:rPr>
        <w:t>)</w:t>
      </w:r>
      <w:r>
        <w:rPr>
          <w:sz w:val="22"/>
          <w:szCs w:val="22"/>
        </w:rPr>
        <w:t>.</w:t>
      </w:r>
    </w:p>
    <w:p w:rsidR="00AB79DD" w:rsidRDefault="00AB79DD" w:rsidP="00AB79DD">
      <w:pPr>
        <w:spacing w:before="120" w:after="120" w:line="360" w:lineRule="auto"/>
        <w:jc w:val="lowKashida"/>
        <w:rPr>
          <w:sz w:val="22"/>
          <w:szCs w:val="22"/>
        </w:rPr>
      </w:pPr>
      <w:r>
        <w:rPr>
          <w:sz w:val="22"/>
          <w:szCs w:val="22"/>
        </w:rPr>
        <w:t xml:space="preserve">In conclusion, this study highlights some of the associations that exist between violence against women and daughter (in the form of circumcision) and fertility. It shows that violence is deeply rooted in our society and starts from early childhood as we teach our children about violence through aggressive physical and emotional discipline that grows with the males as they become fathers and husbands, and also with the female child as she becomes accepting to violence from her partner. Both parents share in this criminal cascade of events, imitating a vicious circle of violence that ends in women being illiterate, disempowered in their decision in family planning and unsatisfied </w:t>
      </w:r>
      <w:r>
        <w:rPr>
          <w:sz w:val="22"/>
          <w:szCs w:val="22"/>
        </w:rPr>
        <w:lastRenderedPageBreak/>
        <w:t xml:space="preserve">with their sexual and parenting experiences. More efforts should be invested in improving parenting styles child-centered and child-rearing friendly towards either gender equally by  becoming understanding and responsive to the needs of children involving them in decision making through problem solving and modeling </w:t>
      </w:r>
      <w:proofErr w:type="spellStart"/>
      <w:r>
        <w:rPr>
          <w:sz w:val="22"/>
          <w:szCs w:val="22"/>
        </w:rPr>
        <w:t>behaviours</w:t>
      </w:r>
      <w:proofErr w:type="spellEnd"/>
      <w:r>
        <w:rPr>
          <w:sz w:val="22"/>
          <w:szCs w:val="22"/>
        </w:rPr>
        <w:t>.</w:t>
      </w:r>
    </w:p>
    <w:p w:rsidR="00AB79DD" w:rsidRDefault="00AB79DD" w:rsidP="00AB79DD">
      <w:pPr>
        <w:spacing w:before="120" w:after="120" w:line="288" w:lineRule="auto"/>
        <w:jc w:val="lowKashida"/>
        <w:rPr>
          <w:b/>
        </w:rPr>
      </w:pPr>
      <w:r>
        <w:rPr>
          <w:b/>
        </w:rPr>
        <w:t>References</w:t>
      </w:r>
    </w:p>
    <w:p w:rsidR="00AB79DD" w:rsidRPr="0064711C" w:rsidRDefault="00AB79DD" w:rsidP="00AB79DD">
      <w:pPr>
        <w:pStyle w:val="ListParagraph"/>
        <w:numPr>
          <w:ilvl w:val="0"/>
          <w:numId w:val="1"/>
        </w:numPr>
        <w:bidi w:val="0"/>
        <w:spacing w:before="120" w:after="120" w:line="240" w:lineRule="atLeast"/>
        <w:jc w:val="lowKashida"/>
        <w:rPr>
          <w:rFonts w:ascii="Times New Roman" w:eastAsia="Times New Roman" w:hAnsi="Times New Roman" w:cs="Times New Roman"/>
        </w:rPr>
      </w:pPr>
      <w:proofErr w:type="gramStart"/>
      <w:r w:rsidRPr="0064711C">
        <w:rPr>
          <w:rFonts w:ascii="Times New Roman" w:eastAsia="Times New Roman" w:hAnsi="Times New Roman" w:cs="Times New Roman"/>
        </w:rPr>
        <w:t>WHO</w:t>
      </w:r>
      <w:proofErr w:type="gramEnd"/>
      <w:r w:rsidRPr="0064711C">
        <w:rPr>
          <w:rFonts w:ascii="Times New Roman" w:eastAsia="Times New Roman" w:hAnsi="Times New Roman" w:cs="Times New Roman"/>
        </w:rPr>
        <w:t xml:space="preserve"> Global Consultation on Violence and Health. Violence: a public health priority. Geneva, World Health Organization, 1996 (document WHO/EHA/ SPI.POA.2).</w:t>
      </w:r>
    </w:p>
    <w:p w:rsidR="00AB79DD" w:rsidRPr="0064711C" w:rsidRDefault="00AB79DD" w:rsidP="00AB79DD">
      <w:pPr>
        <w:pStyle w:val="ListParagraph"/>
        <w:numPr>
          <w:ilvl w:val="0"/>
          <w:numId w:val="1"/>
        </w:numPr>
        <w:bidi w:val="0"/>
        <w:spacing w:before="120" w:after="120" w:line="240" w:lineRule="atLeast"/>
        <w:jc w:val="lowKashida"/>
        <w:rPr>
          <w:rFonts w:ascii="Times New Roman" w:eastAsia="Times New Roman" w:hAnsi="Times New Roman" w:cs="Times New Roman"/>
        </w:rPr>
      </w:pPr>
      <w:r w:rsidRPr="0064711C">
        <w:rPr>
          <w:rFonts w:ascii="Times New Roman" w:eastAsia="Times New Roman" w:hAnsi="Times New Roman" w:cs="Times New Roman"/>
        </w:rPr>
        <w:t xml:space="preserve">Putting women first: ethical and safety recommendations for research on domestic violence against women. Geneva, World Health Organization, 2001 (document WHO/FCH/GWH/01.01). </w:t>
      </w:r>
    </w:p>
    <w:p w:rsidR="00AB79DD" w:rsidRPr="0064711C" w:rsidRDefault="00AB79DD" w:rsidP="00AB79DD">
      <w:pPr>
        <w:pStyle w:val="ListParagraph"/>
        <w:numPr>
          <w:ilvl w:val="0"/>
          <w:numId w:val="1"/>
        </w:numPr>
        <w:bidi w:val="0"/>
        <w:spacing w:before="120" w:after="120" w:line="240" w:lineRule="atLeast"/>
        <w:jc w:val="lowKashida"/>
        <w:rPr>
          <w:rFonts w:ascii="Times New Roman" w:eastAsia="Times New Roman" w:hAnsi="Times New Roman" w:cs="Times New Roman"/>
        </w:rPr>
      </w:pPr>
      <w:r w:rsidRPr="0064711C">
        <w:rPr>
          <w:rFonts w:ascii="Times New Roman" w:eastAsia="Times New Roman" w:hAnsi="Times New Roman" w:cs="Times New Roman"/>
        </w:rPr>
        <w:t>Krug EG et al., eds. World report on violence and health. Geneva, World Health Organization, 2002.</w:t>
      </w:r>
    </w:p>
    <w:p w:rsidR="00AB79DD" w:rsidRPr="0064711C" w:rsidRDefault="00AB79DD" w:rsidP="00AB79DD">
      <w:pPr>
        <w:pStyle w:val="ListParagraph"/>
        <w:numPr>
          <w:ilvl w:val="0"/>
          <w:numId w:val="1"/>
        </w:numPr>
        <w:bidi w:val="0"/>
        <w:spacing w:before="120" w:after="120" w:line="240" w:lineRule="atLeast"/>
        <w:jc w:val="lowKashida"/>
        <w:rPr>
          <w:rFonts w:ascii="Times New Roman" w:eastAsia="Times New Roman" w:hAnsi="Times New Roman" w:cs="Times New Roman"/>
        </w:rPr>
      </w:pPr>
      <w:r w:rsidRPr="0064711C">
        <w:rPr>
          <w:rFonts w:ascii="Times New Roman" w:eastAsia="Times New Roman" w:hAnsi="Times New Roman" w:cs="Times New Roman"/>
        </w:rPr>
        <w:t>El-</w:t>
      </w:r>
      <w:proofErr w:type="spellStart"/>
      <w:r w:rsidRPr="0064711C">
        <w:rPr>
          <w:rFonts w:ascii="Times New Roman" w:eastAsia="Times New Roman" w:hAnsi="Times New Roman" w:cs="Times New Roman"/>
        </w:rPr>
        <w:t>Zanaty</w:t>
      </w:r>
      <w:proofErr w:type="spellEnd"/>
      <w:r w:rsidRPr="0064711C">
        <w:rPr>
          <w:rFonts w:ascii="Times New Roman" w:eastAsia="Times New Roman" w:hAnsi="Times New Roman" w:cs="Times New Roman"/>
        </w:rPr>
        <w:t xml:space="preserve"> F et al. Egypt demographic and health survey, 1995. Calverton, MD, Macro International, 1996. 22. </w:t>
      </w:r>
    </w:p>
    <w:p w:rsidR="00AB79DD" w:rsidRPr="0064711C" w:rsidRDefault="00AB79DD" w:rsidP="00AB79DD">
      <w:pPr>
        <w:pStyle w:val="NormalWeb"/>
        <w:numPr>
          <w:ilvl w:val="0"/>
          <w:numId w:val="1"/>
        </w:numPr>
        <w:spacing w:before="120" w:beforeAutospacing="0" w:after="120" w:afterAutospacing="0" w:line="240" w:lineRule="atLeast"/>
        <w:textAlignment w:val="baseline"/>
        <w:rPr>
          <w:sz w:val="22"/>
          <w:szCs w:val="22"/>
        </w:rPr>
      </w:pPr>
      <w:r w:rsidRPr="0064711C">
        <w:rPr>
          <w:sz w:val="22"/>
          <w:szCs w:val="22"/>
        </w:rPr>
        <w:t>Family Violence Prevention Fund, Domestic, Sexual Violence Can Harm Women’s Reproductive Health. 2009, accessed at </w:t>
      </w:r>
      <w:hyperlink r:id="rId9" w:history="1">
        <w:r w:rsidRPr="0064711C">
          <w:rPr>
            <w:sz w:val="22"/>
            <w:szCs w:val="22"/>
          </w:rPr>
          <w:t>www.endabuse.org</w:t>
        </w:r>
      </w:hyperlink>
      <w:r w:rsidRPr="0064711C">
        <w:rPr>
          <w:sz w:val="22"/>
          <w:szCs w:val="22"/>
        </w:rPr>
        <w:t>, on April 29, 2010.</w:t>
      </w:r>
    </w:p>
    <w:p w:rsidR="00AB79DD" w:rsidRDefault="00AB79DD" w:rsidP="00AB79DD">
      <w:pPr>
        <w:pStyle w:val="NormalWeb"/>
        <w:numPr>
          <w:ilvl w:val="0"/>
          <w:numId w:val="1"/>
        </w:numPr>
        <w:spacing w:before="120" w:beforeAutospacing="0" w:after="120" w:afterAutospacing="0" w:line="240" w:lineRule="atLeast"/>
        <w:jc w:val="both"/>
        <w:textAlignment w:val="baseline"/>
        <w:rPr>
          <w:sz w:val="22"/>
          <w:szCs w:val="22"/>
        </w:rPr>
      </w:pPr>
      <w:r w:rsidRPr="00B82AA1">
        <w:rPr>
          <w:sz w:val="22"/>
          <w:szCs w:val="22"/>
        </w:rPr>
        <w:t>El-</w:t>
      </w:r>
      <w:proofErr w:type="spellStart"/>
      <w:r w:rsidRPr="00B82AA1">
        <w:rPr>
          <w:sz w:val="22"/>
          <w:szCs w:val="22"/>
        </w:rPr>
        <w:t>Zanaty</w:t>
      </w:r>
      <w:proofErr w:type="spellEnd"/>
      <w:r w:rsidRPr="00B82AA1">
        <w:rPr>
          <w:sz w:val="22"/>
          <w:szCs w:val="22"/>
        </w:rPr>
        <w:t xml:space="preserve"> and Associates [Egypt], and ICF International. 2015. Egypt Demographic and Health Survey 2014. Cairo, Egypt and Rockville, Maryland, USA: Ministry of Health and Population and ICF International. </w:t>
      </w:r>
    </w:p>
    <w:p w:rsidR="00AB79DD" w:rsidRPr="0064711C" w:rsidRDefault="00AB79DD" w:rsidP="00AB79DD">
      <w:pPr>
        <w:pStyle w:val="NormalWeb"/>
        <w:numPr>
          <w:ilvl w:val="0"/>
          <w:numId w:val="1"/>
        </w:numPr>
        <w:spacing w:before="120" w:beforeAutospacing="0" w:after="120" w:afterAutospacing="0" w:line="240" w:lineRule="atLeast"/>
        <w:jc w:val="both"/>
        <w:textAlignment w:val="baseline"/>
        <w:rPr>
          <w:sz w:val="22"/>
          <w:szCs w:val="22"/>
        </w:rPr>
      </w:pPr>
      <w:proofErr w:type="spellStart"/>
      <w:r w:rsidRPr="0064711C">
        <w:rPr>
          <w:sz w:val="22"/>
          <w:szCs w:val="22"/>
        </w:rPr>
        <w:t>Bakrr</w:t>
      </w:r>
      <w:proofErr w:type="spellEnd"/>
      <w:r w:rsidRPr="0064711C">
        <w:rPr>
          <w:sz w:val="22"/>
          <w:szCs w:val="22"/>
        </w:rPr>
        <w:t xml:space="preserve"> IM. Domestic Violence </w:t>
      </w:r>
      <w:r>
        <w:rPr>
          <w:sz w:val="22"/>
          <w:szCs w:val="22"/>
        </w:rPr>
        <w:t>a</w:t>
      </w:r>
      <w:r w:rsidRPr="0064711C">
        <w:rPr>
          <w:sz w:val="22"/>
          <w:szCs w:val="22"/>
        </w:rPr>
        <w:t xml:space="preserve">mong </w:t>
      </w:r>
      <w:r>
        <w:rPr>
          <w:sz w:val="22"/>
          <w:szCs w:val="22"/>
        </w:rPr>
        <w:t>w</w:t>
      </w:r>
      <w:r w:rsidRPr="0064711C">
        <w:rPr>
          <w:sz w:val="22"/>
          <w:szCs w:val="22"/>
        </w:rPr>
        <w:t xml:space="preserve">omen </w:t>
      </w:r>
      <w:r>
        <w:rPr>
          <w:sz w:val="22"/>
          <w:szCs w:val="22"/>
        </w:rPr>
        <w:t>a</w:t>
      </w:r>
      <w:r w:rsidRPr="0064711C">
        <w:rPr>
          <w:sz w:val="22"/>
          <w:szCs w:val="22"/>
        </w:rPr>
        <w:t xml:space="preserve">ttending </w:t>
      </w:r>
      <w:r>
        <w:rPr>
          <w:sz w:val="22"/>
          <w:szCs w:val="22"/>
        </w:rPr>
        <w:t>o</w:t>
      </w:r>
      <w:r w:rsidRPr="0064711C">
        <w:rPr>
          <w:sz w:val="22"/>
          <w:szCs w:val="22"/>
        </w:rPr>
        <w:t xml:space="preserve">ut-patient </w:t>
      </w:r>
      <w:r>
        <w:rPr>
          <w:sz w:val="22"/>
          <w:szCs w:val="22"/>
        </w:rPr>
        <w:t>c</w:t>
      </w:r>
      <w:r w:rsidRPr="0064711C">
        <w:rPr>
          <w:sz w:val="22"/>
          <w:szCs w:val="22"/>
        </w:rPr>
        <w:t>linics in Ain Shams Uni</w:t>
      </w:r>
      <w:r>
        <w:rPr>
          <w:sz w:val="22"/>
          <w:szCs w:val="22"/>
        </w:rPr>
        <w:t>versity Hospitals, Cairo, Egypt.</w:t>
      </w:r>
      <w:r w:rsidRPr="0064711C">
        <w:rPr>
          <w:sz w:val="22"/>
          <w:szCs w:val="22"/>
        </w:rPr>
        <w:t> Journal of Egypt Public Health Association</w:t>
      </w:r>
      <w:r>
        <w:rPr>
          <w:sz w:val="22"/>
          <w:szCs w:val="22"/>
        </w:rPr>
        <w:t>.</w:t>
      </w:r>
      <w:r w:rsidRPr="0064711C">
        <w:rPr>
          <w:sz w:val="22"/>
          <w:szCs w:val="22"/>
        </w:rPr>
        <w:t xml:space="preserve"> 2005</w:t>
      </w:r>
      <w:r>
        <w:rPr>
          <w:sz w:val="22"/>
          <w:szCs w:val="22"/>
        </w:rPr>
        <w:t xml:space="preserve">; </w:t>
      </w:r>
      <w:r w:rsidRPr="0064711C">
        <w:rPr>
          <w:sz w:val="22"/>
          <w:szCs w:val="22"/>
        </w:rPr>
        <w:t>no. 5-6 (</w:t>
      </w:r>
      <w:r>
        <w:rPr>
          <w:sz w:val="22"/>
          <w:szCs w:val="22"/>
        </w:rPr>
        <w:t>2005</w:t>
      </w:r>
      <w:r w:rsidRPr="0064711C">
        <w:rPr>
          <w:sz w:val="22"/>
          <w:szCs w:val="22"/>
        </w:rPr>
        <w:t>): 629-50.</w:t>
      </w:r>
    </w:p>
    <w:p w:rsidR="00AB79DD" w:rsidRPr="0064711C" w:rsidRDefault="00AB79DD" w:rsidP="00AB79DD">
      <w:pPr>
        <w:pStyle w:val="NormalWeb"/>
        <w:numPr>
          <w:ilvl w:val="0"/>
          <w:numId w:val="1"/>
        </w:numPr>
        <w:spacing w:before="120" w:beforeAutospacing="0" w:after="120" w:afterAutospacing="0" w:line="240" w:lineRule="atLeast"/>
        <w:jc w:val="lowKashida"/>
        <w:textAlignment w:val="baseline"/>
        <w:rPr>
          <w:sz w:val="22"/>
          <w:szCs w:val="22"/>
        </w:rPr>
      </w:pPr>
      <w:r w:rsidRPr="0064711C">
        <w:rPr>
          <w:sz w:val="22"/>
          <w:szCs w:val="22"/>
        </w:rPr>
        <w:t xml:space="preserve">Brown J et al. Childhood abuse and neglect: specificity of effects on adolescent and young adult depression and suicidality. Journal of the American </w:t>
      </w:r>
      <w:r w:rsidRPr="0064711C">
        <w:rPr>
          <w:sz w:val="22"/>
          <w:szCs w:val="22"/>
        </w:rPr>
        <w:lastRenderedPageBreak/>
        <w:t xml:space="preserve">Academy of Child and Adolescent Psychiatry, 1999, 38:1490–1496. 55. </w:t>
      </w:r>
    </w:p>
    <w:p w:rsidR="00AB79DD" w:rsidRPr="0064711C" w:rsidRDefault="00AB79DD" w:rsidP="00AB79DD">
      <w:pPr>
        <w:pStyle w:val="NormalWeb"/>
        <w:numPr>
          <w:ilvl w:val="0"/>
          <w:numId w:val="1"/>
        </w:numPr>
        <w:spacing w:before="120" w:beforeAutospacing="0" w:after="120" w:afterAutospacing="0" w:line="240" w:lineRule="atLeast"/>
        <w:jc w:val="lowKashida"/>
        <w:textAlignment w:val="baseline"/>
        <w:rPr>
          <w:sz w:val="22"/>
          <w:szCs w:val="22"/>
        </w:rPr>
      </w:pPr>
      <w:r w:rsidRPr="0064711C">
        <w:rPr>
          <w:sz w:val="22"/>
          <w:szCs w:val="22"/>
        </w:rPr>
        <w:t>Randall M et al. Sexual violence in women’s lives: findings from the women’s safety project, a community-based survey. Violence against Women, 1995, 1:6–31.</w:t>
      </w:r>
    </w:p>
    <w:p w:rsidR="00AB79DD" w:rsidRDefault="00AB79DD" w:rsidP="00AB79DD">
      <w:pPr>
        <w:pStyle w:val="NormalWeb"/>
        <w:numPr>
          <w:ilvl w:val="0"/>
          <w:numId w:val="1"/>
        </w:numPr>
        <w:spacing w:before="120" w:beforeAutospacing="0" w:after="120" w:afterAutospacing="0" w:line="240" w:lineRule="atLeast"/>
        <w:jc w:val="lowKashida"/>
        <w:textAlignment w:val="baseline"/>
        <w:rPr>
          <w:sz w:val="22"/>
          <w:szCs w:val="22"/>
        </w:rPr>
      </w:pPr>
      <w:r w:rsidRPr="0064711C">
        <w:rPr>
          <w:sz w:val="22"/>
          <w:szCs w:val="22"/>
        </w:rPr>
        <w:t xml:space="preserve">Rodgers K. Wife assault: the findings of a national survey. </w:t>
      </w:r>
      <w:proofErr w:type="spellStart"/>
      <w:r w:rsidRPr="0064711C">
        <w:rPr>
          <w:sz w:val="22"/>
          <w:szCs w:val="22"/>
        </w:rPr>
        <w:t>Juristat</w:t>
      </w:r>
      <w:proofErr w:type="spellEnd"/>
      <w:r w:rsidRPr="0064711C">
        <w:rPr>
          <w:sz w:val="22"/>
          <w:szCs w:val="22"/>
        </w:rPr>
        <w:t xml:space="preserve"> Service Bulletin, 1994, 14:1–22. 21. </w:t>
      </w:r>
    </w:p>
    <w:p w:rsidR="00AB79DD" w:rsidRDefault="00AB79DD" w:rsidP="00AB79DD">
      <w:pPr>
        <w:pStyle w:val="NormalWeb"/>
        <w:numPr>
          <w:ilvl w:val="0"/>
          <w:numId w:val="1"/>
        </w:numPr>
        <w:spacing w:before="120" w:beforeAutospacing="0" w:after="120" w:afterAutospacing="0" w:line="240" w:lineRule="atLeast"/>
        <w:jc w:val="lowKashida"/>
        <w:textAlignment w:val="baseline"/>
        <w:rPr>
          <w:sz w:val="22"/>
          <w:szCs w:val="22"/>
        </w:rPr>
      </w:pPr>
      <w:r w:rsidRPr="0064711C">
        <w:rPr>
          <w:sz w:val="22"/>
          <w:szCs w:val="22"/>
        </w:rPr>
        <w:t xml:space="preserve">Stark E, </w:t>
      </w:r>
      <w:proofErr w:type="spellStart"/>
      <w:r w:rsidRPr="0064711C">
        <w:rPr>
          <w:sz w:val="22"/>
          <w:szCs w:val="22"/>
        </w:rPr>
        <w:t>Flitcraft</w:t>
      </w:r>
      <w:proofErr w:type="spellEnd"/>
      <w:r w:rsidRPr="0064711C">
        <w:rPr>
          <w:sz w:val="22"/>
          <w:szCs w:val="22"/>
        </w:rPr>
        <w:t xml:space="preserve"> A. Killing the beast within: woman battering and female suicidality. International Journal of Health Services, 1995, 25:43–64</w:t>
      </w:r>
    </w:p>
    <w:p w:rsidR="00AB79DD" w:rsidRPr="0064711C" w:rsidRDefault="00AB79DD" w:rsidP="00AB79DD">
      <w:pPr>
        <w:pStyle w:val="NormalWeb"/>
        <w:numPr>
          <w:ilvl w:val="0"/>
          <w:numId w:val="1"/>
        </w:numPr>
        <w:spacing w:before="120" w:beforeAutospacing="0" w:after="120" w:afterAutospacing="0" w:line="240" w:lineRule="atLeast"/>
        <w:jc w:val="lowKashida"/>
        <w:textAlignment w:val="baseline"/>
        <w:rPr>
          <w:sz w:val="22"/>
          <w:szCs w:val="22"/>
        </w:rPr>
      </w:pPr>
      <w:r w:rsidRPr="0064711C">
        <w:rPr>
          <w:sz w:val="22"/>
          <w:szCs w:val="22"/>
        </w:rPr>
        <w:t>WHO multi-country study on women’s health and domestic violence. Geneva, World Health Organization, 1999 (document WHO/FCH/GWH/02.01).</w:t>
      </w:r>
    </w:p>
    <w:p w:rsidR="00AB79DD" w:rsidRDefault="00AB79DD" w:rsidP="00AB79DD"/>
    <w:p w:rsidR="00AB79DD" w:rsidRDefault="00AB79DD" w:rsidP="00AB79DD">
      <w:pPr>
        <w:rPr>
          <w:rFonts w:ascii="Arial Black" w:hAnsi="Arial Black"/>
          <w:b/>
          <w:bCs/>
          <w:i/>
          <w:iCs/>
        </w:rPr>
      </w:pPr>
      <w:r>
        <w:rPr>
          <w:rFonts w:ascii="Arial Black" w:hAnsi="Arial Black"/>
          <w:b/>
          <w:bCs/>
          <w:i/>
          <w:iCs/>
        </w:rPr>
        <w:br w:type="page"/>
      </w:r>
    </w:p>
    <w:p w:rsidR="00AB79DD" w:rsidRDefault="00AB79DD" w:rsidP="00AB79DD">
      <w:pPr>
        <w:bidi/>
        <w:spacing w:after="200" w:line="276" w:lineRule="auto"/>
        <w:rPr>
          <w:rtl/>
        </w:rPr>
      </w:pPr>
    </w:p>
    <w:p w:rsidR="00AB79DD" w:rsidRDefault="00AB79DD" w:rsidP="00AB79DD">
      <w:pPr>
        <w:bidi/>
        <w:spacing w:after="200" w:line="276" w:lineRule="auto"/>
        <w:rPr>
          <w:rtl/>
        </w:rPr>
        <w:sectPr w:rsidR="00AB79DD" w:rsidSect="008B3E03">
          <w:type w:val="continuous"/>
          <w:pgSz w:w="11907" w:h="16840" w:code="9"/>
          <w:pgMar w:top="1440" w:right="1440" w:bottom="1440" w:left="1440" w:header="709" w:footer="851" w:gutter="0"/>
          <w:cols w:num="2" w:space="425"/>
          <w:rtlGutter/>
          <w:docGrid w:linePitch="360"/>
        </w:sectPr>
      </w:pPr>
    </w:p>
    <w:p w:rsidR="00AB79DD" w:rsidRPr="00A24159" w:rsidRDefault="00AB79DD" w:rsidP="00AB79DD">
      <w:pPr>
        <w:bidi/>
        <w:spacing w:after="200" w:line="360" w:lineRule="auto"/>
        <w:rPr>
          <w:b/>
          <w:bCs/>
          <w:sz w:val="32"/>
          <w:szCs w:val="32"/>
        </w:rPr>
      </w:pPr>
      <w:r>
        <w:rPr>
          <w:rFonts w:hint="cs"/>
          <w:b/>
          <w:bCs/>
          <w:sz w:val="32"/>
          <w:szCs w:val="32"/>
          <w:rtl/>
        </w:rPr>
        <w:lastRenderedPageBreak/>
        <w:t>قرارات المباعدة و علاقتها ب</w:t>
      </w:r>
      <w:r w:rsidRPr="00A24159">
        <w:rPr>
          <w:b/>
          <w:bCs/>
          <w:sz w:val="32"/>
          <w:szCs w:val="32"/>
          <w:rtl/>
        </w:rPr>
        <w:t xml:space="preserve">العنف الأسري ضد المرأة </w:t>
      </w:r>
      <w:r>
        <w:rPr>
          <w:rFonts w:hint="cs"/>
          <w:b/>
          <w:bCs/>
          <w:sz w:val="32"/>
          <w:szCs w:val="32"/>
          <w:rtl/>
        </w:rPr>
        <w:t>و تأثير ذلك على صحتها</w:t>
      </w:r>
    </w:p>
    <w:p w:rsidR="00AB79DD" w:rsidRPr="00205569" w:rsidRDefault="00AB79DD" w:rsidP="00AB79DD">
      <w:pPr>
        <w:bidi/>
        <w:spacing w:after="200" w:line="360" w:lineRule="auto"/>
        <w:rPr>
          <w:b/>
          <w:bCs/>
          <w:i/>
          <w:iCs/>
          <w:rtl/>
          <w:lang w:bidi="ar-EG"/>
        </w:rPr>
      </w:pPr>
      <w:r w:rsidRPr="00205569">
        <w:rPr>
          <w:rFonts w:hint="cs"/>
          <w:b/>
          <w:bCs/>
          <w:i/>
          <w:iCs/>
          <w:rtl/>
        </w:rPr>
        <w:t xml:space="preserve">الإستاذة الدكتورة / </w:t>
      </w:r>
      <w:r w:rsidRPr="00205569">
        <w:rPr>
          <w:b/>
          <w:bCs/>
          <w:i/>
          <w:iCs/>
          <w:rtl/>
        </w:rPr>
        <w:t xml:space="preserve">عزة أبو الفضل </w:t>
      </w:r>
      <w:r w:rsidRPr="00205569">
        <w:rPr>
          <w:rFonts w:hint="cs"/>
          <w:b/>
          <w:bCs/>
          <w:i/>
          <w:iCs/>
          <w:rtl/>
        </w:rPr>
        <w:t>، الإستاذة الدكتورة /</w:t>
      </w:r>
      <w:r w:rsidRPr="00205569">
        <w:rPr>
          <w:b/>
          <w:bCs/>
          <w:i/>
          <w:iCs/>
          <w:rtl/>
        </w:rPr>
        <w:t>إحسان محمد فهمي</w:t>
      </w:r>
      <w:r w:rsidRPr="00205569">
        <w:rPr>
          <w:b/>
          <w:bCs/>
          <w:i/>
          <w:iCs/>
        </w:rPr>
        <w:t xml:space="preserve"> </w:t>
      </w:r>
      <w:r w:rsidRPr="00205569">
        <w:rPr>
          <w:rFonts w:hint="cs"/>
          <w:b/>
          <w:bCs/>
          <w:i/>
          <w:iCs/>
          <w:rtl/>
        </w:rPr>
        <w:t>، الإستاذ الدكتور/ إبراهيم الكرداني</w:t>
      </w:r>
      <w:r w:rsidRPr="00205569">
        <w:rPr>
          <w:rFonts w:hint="cs"/>
          <w:b/>
          <w:bCs/>
          <w:i/>
          <w:iCs/>
          <w:rtl/>
          <w:lang w:bidi="ar-EG"/>
        </w:rPr>
        <w:t xml:space="preserve"> </w:t>
      </w:r>
    </w:p>
    <w:p w:rsidR="00AB79DD" w:rsidRPr="00A24159" w:rsidRDefault="00AB79DD" w:rsidP="00AB79DD">
      <w:pPr>
        <w:bidi/>
        <w:spacing w:after="200" w:line="360" w:lineRule="auto"/>
        <w:jc w:val="center"/>
        <w:rPr>
          <w:b/>
          <w:bCs/>
          <w:sz w:val="28"/>
          <w:szCs w:val="28"/>
        </w:rPr>
      </w:pPr>
      <w:r w:rsidRPr="00A24159">
        <w:rPr>
          <w:b/>
          <w:bCs/>
          <w:sz w:val="28"/>
          <w:szCs w:val="28"/>
          <w:rtl/>
        </w:rPr>
        <w:t>نبذة مختصرة</w:t>
      </w:r>
    </w:p>
    <w:p w:rsidR="00AB79DD" w:rsidRPr="00A24159" w:rsidRDefault="00AB79DD" w:rsidP="00AB79DD">
      <w:pPr>
        <w:bidi/>
        <w:spacing w:after="200" w:line="360" w:lineRule="auto"/>
        <w:rPr>
          <w:sz w:val="28"/>
          <w:szCs w:val="28"/>
        </w:rPr>
      </w:pPr>
      <w:r w:rsidRPr="00A24159">
        <w:rPr>
          <w:rFonts w:hint="cs"/>
          <w:b/>
          <w:bCs/>
          <w:sz w:val="28"/>
          <w:szCs w:val="28"/>
          <w:rtl/>
        </w:rPr>
        <w:t>ال</w:t>
      </w:r>
      <w:r w:rsidRPr="00A24159">
        <w:rPr>
          <w:b/>
          <w:bCs/>
          <w:sz w:val="28"/>
          <w:szCs w:val="28"/>
          <w:rtl/>
        </w:rPr>
        <w:t>خلفية:</w:t>
      </w:r>
      <w:r w:rsidRPr="00A24159">
        <w:rPr>
          <w:sz w:val="28"/>
          <w:szCs w:val="28"/>
          <w:rtl/>
        </w:rPr>
        <w:t xml:space="preserve"> </w:t>
      </w:r>
      <w:r>
        <w:rPr>
          <w:rFonts w:hint="cs"/>
          <w:sz w:val="28"/>
          <w:szCs w:val="28"/>
          <w:rtl/>
        </w:rPr>
        <w:t xml:space="preserve">ارتباط </w:t>
      </w:r>
      <w:r w:rsidRPr="00A24159">
        <w:rPr>
          <w:sz w:val="28"/>
          <w:szCs w:val="28"/>
          <w:rtl/>
        </w:rPr>
        <w:t xml:space="preserve">العنف </w:t>
      </w:r>
      <w:r>
        <w:rPr>
          <w:rFonts w:hint="cs"/>
          <w:sz w:val="28"/>
          <w:szCs w:val="28"/>
          <w:rtl/>
        </w:rPr>
        <w:t>الأسري ضد المرأة</w:t>
      </w:r>
      <w:r w:rsidRPr="00A24159">
        <w:rPr>
          <w:sz w:val="28"/>
          <w:szCs w:val="28"/>
          <w:rtl/>
        </w:rPr>
        <w:t xml:space="preserve"> </w:t>
      </w:r>
      <w:r>
        <w:rPr>
          <w:rFonts w:hint="cs"/>
          <w:sz w:val="28"/>
          <w:szCs w:val="28"/>
          <w:rtl/>
        </w:rPr>
        <w:t>ب</w:t>
      </w:r>
      <w:r w:rsidRPr="00A24159">
        <w:rPr>
          <w:sz w:val="28"/>
          <w:szCs w:val="28"/>
          <w:rtl/>
        </w:rPr>
        <w:t xml:space="preserve">مشكلة النمو السكاني هي قضية </w:t>
      </w:r>
      <w:r>
        <w:rPr>
          <w:rFonts w:hint="cs"/>
          <w:sz w:val="28"/>
          <w:szCs w:val="28"/>
          <w:rtl/>
        </w:rPr>
        <w:t>مهمشة و لكنها تدرس بعمق في دول أخرى و يسلط عليها اهتمام علماء النفس. ان قضية التضخم السكاني تحتاج من الباحثين الدراسة و الاهتمام لايجاد حلول غير تقليدية لمواجهة هذه القضية المتفحمة</w:t>
      </w:r>
      <w:r w:rsidRPr="00A24159">
        <w:rPr>
          <w:sz w:val="28"/>
          <w:szCs w:val="28"/>
        </w:rPr>
        <w:t>.</w:t>
      </w:r>
    </w:p>
    <w:p w:rsidR="00AB79DD" w:rsidRPr="00A24159" w:rsidRDefault="00AB79DD" w:rsidP="00AB79DD">
      <w:pPr>
        <w:bidi/>
        <w:spacing w:after="200" w:line="360" w:lineRule="auto"/>
        <w:rPr>
          <w:sz w:val="28"/>
          <w:szCs w:val="28"/>
        </w:rPr>
      </w:pPr>
      <w:r w:rsidRPr="00205569">
        <w:rPr>
          <w:b/>
          <w:bCs/>
          <w:sz w:val="28"/>
          <w:szCs w:val="28"/>
          <w:rtl/>
        </w:rPr>
        <w:t>الهدف</w:t>
      </w:r>
      <w:r w:rsidRPr="00A24159">
        <w:rPr>
          <w:sz w:val="28"/>
          <w:szCs w:val="28"/>
          <w:rtl/>
        </w:rPr>
        <w:t xml:space="preserve">: </w:t>
      </w:r>
      <w:r>
        <w:rPr>
          <w:rFonts w:hint="cs"/>
          <w:sz w:val="28"/>
          <w:szCs w:val="28"/>
          <w:rtl/>
        </w:rPr>
        <w:t>دراسة العلاقة بين</w:t>
      </w:r>
      <w:r w:rsidRPr="00A24159">
        <w:rPr>
          <w:sz w:val="28"/>
          <w:szCs w:val="28"/>
          <w:rtl/>
        </w:rPr>
        <w:t xml:space="preserve"> العنف </w:t>
      </w:r>
      <w:r>
        <w:rPr>
          <w:rFonts w:hint="cs"/>
          <w:sz w:val="28"/>
          <w:szCs w:val="28"/>
          <w:rtl/>
        </w:rPr>
        <w:t>الأسري</w:t>
      </w:r>
      <w:r w:rsidRPr="00A24159">
        <w:rPr>
          <w:sz w:val="28"/>
          <w:szCs w:val="28"/>
          <w:rtl/>
        </w:rPr>
        <w:t xml:space="preserve"> ضد المرأة و الختان</w:t>
      </w:r>
      <w:r>
        <w:rPr>
          <w:rFonts w:hint="cs"/>
          <w:sz w:val="28"/>
          <w:szCs w:val="28"/>
          <w:rtl/>
        </w:rPr>
        <w:t xml:space="preserve"> و تأثير ذلك على قرارات المباعدة و صحة المرأة بالنسبة للسمنة و الأنيميا.</w:t>
      </w:r>
      <w:r w:rsidRPr="00A24159">
        <w:rPr>
          <w:sz w:val="28"/>
          <w:szCs w:val="28"/>
        </w:rPr>
        <w:t>.</w:t>
      </w:r>
    </w:p>
    <w:p w:rsidR="00AB79DD" w:rsidRPr="00A24159" w:rsidRDefault="00AB79DD" w:rsidP="00AB79DD">
      <w:pPr>
        <w:bidi/>
        <w:spacing w:after="200" w:line="360" w:lineRule="auto"/>
        <w:rPr>
          <w:sz w:val="28"/>
          <w:szCs w:val="28"/>
        </w:rPr>
      </w:pPr>
      <w:r w:rsidRPr="00205569">
        <w:rPr>
          <w:b/>
          <w:bCs/>
          <w:sz w:val="28"/>
          <w:szCs w:val="28"/>
          <w:rtl/>
        </w:rPr>
        <w:t>الأساليب</w:t>
      </w:r>
      <w:r w:rsidRPr="00A24159">
        <w:rPr>
          <w:sz w:val="28"/>
          <w:szCs w:val="28"/>
          <w:rtl/>
        </w:rPr>
        <w:t>: تم ​​استرجاع البيانات من المسح السكاني للصحة في مصر لعام 2014. بيانات 25 محافظة في مصر بما في ذلك 4 مدن  ، 12 في مصر السفلى ، 8 في صعيد مصر</w:t>
      </w:r>
      <w:r w:rsidRPr="00A24159">
        <w:rPr>
          <w:sz w:val="28"/>
          <w:szCs w:val="28"/>
        </w:rPr>
        <w:t xml:space="preserve"> (UE) </w:t>
      </w:r>
      <w:r w:rsidRPr="00A24159">
        <w:rPr>
          <w:sz w:val="28"/>
          <w:szCs w:val="28"/>
          <w:rtl/>
        </w:rPr>
        <w:t>و 3 محافظات حدودية. تضمنت البيانات سببًا مبررًا للضرب أو الضرب من قبل الزوج لرفضه ممارسة الجنس أو الجدال أو عدم أخذ إذن بالخروج أو حرق الطعام أو إهمال الأطفال. وشملت البيانات الأخرى السمنة وفقر الدم وانتشار الختان وعزم الأم على ختان ابنتها والمواقف تجاه الختان وتفضيلات الزوج. تم تقييم الحالة الصحية للمرأة عن طريق السمنة وفقر الدم. تم تحليل البيانات إحصائيا باستخدام معامل ارتباط بيرسون بواسطة برنامج</w:t>
      </w:r>
      <w:r w:rsidRPr="00A24159">
        <w:rPr>
          <w:sz w:val="28"/>
          <w:szCs w:val="28"/>
        </w:rPr>
        <w:t xml:space="preserve"> SSPS (20).</w:t>
      </w:r>
    </w:p>
    <w:p w:rsidR="00AB79DD" w:rsidRPr="00A24159" w:rsidRDefault="00AB79DD" w:rsidP="00AB79DD">
      <w:pPr>
        <w:bidi/>
        <w:spacing w:after="200" w:line="360" w:lineRule="auto"/>
        <w:rPr>
          <w:sz w:val="28"/>
          <w:szCs w:val="28"/>
        </w:rPr>
      </w:pPr>
      <w:r w:rsidRPr="00205569">
        <w:rPr>
          <w:b/>
          <w:bCs/>
          <w:sz w:val="28"/>
          <w:szCs w:val="28"/>
          <w:rtl/>
        </w:rPr>
        <w:t>النتائج</w:t>
      </w:r>
      <w:r w:rsidRPr="00A24159">
        <w:rPr>
          <w:sz w:val="28"/>
          <w:szCs w:val="28"/>
          <w:rtl/>
        </w:rPr>
        <w:t>: كان السبب الأكثر شيوعًا للضرب هو الخروج دون إخبار الزوج الذي كان أعلى معدل في محافظات الاتحاد الأوروبي. كانت الضرب لرفض ممارسة الجنس أعلى محافظات الاتحاد الأوروبي التي تتراوح بين 59.4 ٪ في قنا و 9.8 ٪ في الجيزة. ارتبط الطلب على تنظيم الأسرة عكسيا مع جميع أسباب العنف المنزلي</w:t>
      </w:r>
      <w:r w:rsidRPr="00A24159">
        <w:rPr>
          <w:sz w:val="28"/>
          <w:szCs w:val="28"/>
        </w:rPr>
        <w:t xml:space="preserve"> (P &lt;0.01) </w:t>
      </w:r>
      <w:r w:rsidRPr="00A24159">
        <w:rPr>
          <w:sz w:val="28"/>
          <w:szCs w:val="28"/>
          <w:rtl/>
        </w:rPr>
        <w:t>ولكن ليس المباعدة بين الولادات. النساء اللائي تم ختان بناتهن يرتبطن بشكل إيجابي مع المباعدة بين الولادات وسلبًا مع تنظيم الأسرة. ترتبط السمنة بالطلب على تنظيم الأسرة</w:t>
      </w:r>
      <w:r w:rsidRPr="00A24159">
        <w:rPr>
          <w:sz w:val="28"/>
          <w:szCs w:val="28"/>
        </w:rPr>
        <w:t xml:space="preserve"> (r0.6) </w:t>
      </w:r>
      <w:r w:rsidRPr="00A24159">
        <w:rPr>
          <w:sz w:val="28"/>
          <w:szCs w:val="28"/>
          <w:rtl/>
        </w:rPr>
        <w:t>وسلبًا مع العنف المنزلي المرتبط برفض ممارسة الجنس</w:t>
      </w:r>
      <w:r w:rsidRPr="00A24159">
        <w:rPr>
          <w:sz w:val="28"/>
          <w:szCs w:val="28"/>
        </w:rPr>
        <w:t xml:space="preserve"> (r-0.7) </w:t>
      </w:r>
      <w:r w:rsidRPr="00A24159">
        <w:rPr>
          <w:sz w:val="28"/>
          <w:szCs w:val="28"/>
          <w:rtl/>
        </w:rPr>
        <w:t>والضرب بسبب أي من الأسباب المذكورة</w:t>
      </w:r>
      <w:r w:rsidRPr="00A24159">
        <w:rPr>
          <w:sz w:val="28"/>
          <w:szCs w:val="28"/>
        </w:rPr>
        <w:t xml:space="preserve"> (r-0.7) </w:t>
      </w:r>
      <w:r w:rsidRPr="00A24159">
        <w:rPr>
          <w:sz w:val="28"/>
          <w:szCs w:val="28"/>
          <w:rtl/>
        </w:rPr>
        <w:t>عند</w:t>
      </w:r>
      <w:r w:rsidRPr="00A24159">
        <w:rPr>
          <w:sz w:val="28"/>
          <w:szCs w:val="28"/>
        </w:rPr>
        <w:t xml:space="preserve"> P &lt;0.001 </w:t>
      </w:r>
      <w:r w:rsidRPr="00A24159">
        <w:rPr>
          <w:sz w:val="28"/>
          <w:szCs w:val="28"/>
          <w:rtl/>
        </w:rPr>
        <w:t>ولكن ليس مع فقر الدم</w:t>
      </w:r>
      <w:r w:rsidRPr="00A24159">
        <w:rPr>
          <w:sz w:val="28"/>
          <w:szCs w:val="28"/>
        </w:rPr>
        <w:t xml:space="preserve"> .</w:t>
      </w:r>
    </w:p>
    <w:p w:rsidR="00AB79DD" w:rsidRPr="00A24159" w:rsidRDefault="00AB79DD" w:rsidP="00AB79DD">
      <w:pPr>
        <w:bidi/>
        <w:spacing w:after="200" w:line="360" w:lineRule="auto"/>
        <w:rPr>
          <w:sz w:val="28"/>
          <w:szCs w:val="28"/>
        </w:rPr>
      </w:pPr>
      <w:r w:rsidRPr="00A24159">
        <w:rPr>
          <w:sz w:val="28"/>
          <w:szCs w:val="28"/>
          <w:rtl/>
        </w:rPr>
        <w:t>الاستنتاجات: يرتبط الطلب على تنظيم الأسرة بشكل عكسي بختان الإناث للعنف المنزلي ولكن بشكل إيجابي مع السمنة</w:t>
      </w:r>
      <w:r w:rsidRPr="00A24159">
        <w:rPr>
          <w:sz w:val="28"/>
          <w:szCs w:val="28"/>
        </w:rPr>
        <w:t>.</w:t>
      </w:r>
    </w:p>
    <w:p w:rsidR="00AB79DD" w:rsidRPr="00A24159" w:rsidRDefault="00AB79DD" w:rsidP="00AB79DD">
      <w:pPr>
        <w:tabs>
          <w:tab w:val="right" w:pos="3402"/>
          <w:tab w:val="center" w:pos="4153"/>
          <w:tab w:val="right" w:pos="8306"/>
        </w:tabs>
        <w:bidi/>
        <w:spacing w:before="120" w:after="120" w:line="288" w:lineRule="auto"/>
        <w:contextualSpacing/>
        <w:rPr>
          <w:rFonts w:ascii="Century" w:hAnsi="Century"/>
          <w:b/>
          <w:bCs/>
        </w:rPr>
        <w:sectPr w:rsidR="00AB79DD" w:rsidRPr="00A24159" w:rsidSect="00A24159">
          <w:type w:val="continuous"/>
          <w:pgSz w:w="11907" w:h="16840" w:code="9"/>
          <w:pgMar w:top="1440" w:right="1440" w:bottom="1440" w:left="1440" w:header="709" w:footer="851" w:gutter="0"/>
          <w:cols w:space="425"/>
          <w:rtlGutter/>
          <w:docGrid w:linePitch="360"/>
        </w:sectPr>
      </w:pPr>
    </w:p>
    <w:p w:rsidR="006C01F2" w:rsidRDefault="00AB79DD" w:rsidP="00AB79DD">
      <w:r>
        <w:rPr>
          <w:rFonts w:ascii="Century" w:hAnsi="Century"/>
          <w:sz w:val="28"/>
          <w:szCs w:val="28"/>
        </w:rPr>
        <w:lastRenderedPageBreak/>
        <w:br w:type="page"/>
      </w:r>
    </w:p>
    <w:sectPr w:rsidR="006C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66C62"/>
    <w:multiLevelType w:val="hybridMultilevel"/>
    <w:tmpl w:val="61D2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FE"/>
    <w:rsid w:val="00035914"/>
    <w:rsid w:val="00111A56"/>
    <w:rsid w:val="001507DB"/>
    <w:rsid w:val="00164315"/>
    <w:rsid w:val="001913CF"/>
    <w:rsid w:val="001A77D1"/>
    <w:rsid w:val="001B77A1"/>
    <w:rsid w:val="001E1242"/>
    <w:rsid w:val="002474BD"/>
    <w:rsid w:val="00285FA8"/>
    <w:rsid w:val="002B4A8A"/>
    <w:rsid w:val="002C16FD"/>
    <w:rsid w:val="002E1E83"/>
    <w:rsid w:val="00330900"/>
    <w:rsid w:val="00340642"/>
    <w:rsid w:val="00342389"/>
    <w:rsid w:val="003514E2"/>
    <w:rsid w:val="004872B3"/>
    <w:rsid w:val="00507A0B"/>
    <w:rsid w:val="00536EB1"/>
    <w:rsid w:val="005421B9"/>
    <w:rsid w:val="0062110B"/>
    <w:rsid w:val="006951BD"/>
    <w:rsid w:val="006C01F2"/>
    <w:rsid w:val="00780979"/>
    <w:rsid w:val="00795458"/>
    <w:rsid w:val="007C2F7A"/>
    <w:rsid w:val="00813AF2"/>
    <w:rsid w:val="008861FE"/>
    <w:rsid w:val="0089347A"/>
    <w:rsid w:val="008B1951"/>
    <w:rsid w:val="00930FD4"/>
    <w:rsid w:val="0097234F"/>
    <w:rsid w:val="009B12CA"/>
    <w:rsid w:val="009F301D"/>
    <w:rsid w:val="009F72E3"/>
    <w:rsid w:val="00A5468C"/>
    <w:rsid w:val="00A946CD"/>
    <w:rsid w:val="00AB79DD"/>
    <w:rsid w:val="00AE2B2C"/>
    <w:rsid w:val="00B02D19"/>
    <w:rsid w:val="00B67B66"/>
    <w:rsid w:val="00BB700D"/>
    <w:rsid w:val="00CD7F62"/>
    <w:rsid w:val="00D341FA"/>
    <w:rsid w:val="00DB3983"/>
    <w:rsid w:val="00DF1317"/>
    <w:rsid w:val="00EB7129"/>
    <w:rsid w:val="00EF2F52"/>
    <w:rsid w:val="00F32214"/>
    <w:rsid w:val="00F434BF"/>
    <w:rsid w:val="00F91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79DD"/>
    <w:pPr>
      <w:keepNext/>
      <w:bidi/>
      <w:spacing w:before="240" w:after="60"/>
      <w:outlineLvl w:val="0"/>
    </w:pPr>
    <w:rPr>
      <w:rFonts w:ascii="Arial" w:hAnsi="Arial" w:cs="Arial"/>
      <w:b/>
      <w:bCs/>
      <w:kern w:val="32"/>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9DD"/>
    <w:rPr>
      <w:rFonts w:ascii="Arial" w:eastAsia="Times New Roman" w:hAnsi="Arial" w:cs="Arial"/>
      <w:b/>
      <w:bCs/>
      <w:kern w:val="32"/>
      <w:sz w:val="32"/>
      <w:szCs w:val="32"/>
      <w:lang w:bidi="ar-EG"/>
    </w:rPr>
  </w:style>
  <w:style w:type="paragraph" w:styleId="NormalWeb">
    <w:name w:val="Normal (Web)"/>
    <w:basedOn w:val="Normal"/>
    <w:uiPriority w:val="99"/>
    <w:rsid w:val="00AB79DD"/>
    <w:pPr>
      <w:spacing w:before="100" w:beforeAutospacing="1" w:after="100" w:afterAutospacing="1"/>
    </w:pPr>
  </w:style>
  <w:style w:type="paragraph" w:styleId="ListParagraph">
    <w:name w:val="List Paragraph"/>
    <w:basedOn w:val="Normal"/>
    <w:uiPriority w:val="34"/>
    <w:qFormat/>
    <w:rsid w:val="00AB79DD"/>
    <w:pPr>
      <w:bidi/>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AB79DD"/>
    <w:rPr>
      <w:rFonts w:ascii="Tahoma" w:hAnsi="Tahoma" w:cs="Tahoma"/>
      <w:sz w:val="16"/>
      <w:szCs w:val="16"/>
    </w:rPr>
  </w:style>
  <w:style w:type="character" w:customStyle="1" w:styleId="BalloonTextChar">
    <w:name w:val="Balloon Text Char"/>
    <w:basedOn w:val="DefaultParagraphFont"/>
    <w:link w:val="BalloonText"/>
    <w:uiPriority w:val="99"/>
    <w:semiHidden/>
    <w:rsid w:val="00AB79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79DD"/>
    <w:pPr>
      <w:keepNext/>
      <w:bidi/>
      <w:spacing w:before="240" w:after="60"/>
      <w:outlineLvl w:val="0"/>
    </w:pPr>
    <w:rPr>
      <w:rFonts w:ascii="Arial" w:hAnsi="Arial" w:cs="Arial"/>
      <w:b/>
      <w:bCs/>
      <w:kern w:val="32"/>
      <w:sz w:val="32"/>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9DD"/>
    <w:rPr>
      <w:rFonts w:ascii="Arial" w:eastAsia="Times New Roman" w:hAnsi="Arial" w:cs="Arial"/>
      <w:b/>
      <w:bCs/>
      <w:kern w:val="32"/>
      <w:sz w:val="32"/>
      <w:szCs w:val="32"/>
      <w:lang w:bidi="ar-EG"/>
    </w:rPr>
  </w:style>
  <w:style w:type="paragraph" w:styleId="NormalWeb">
    <w:name w:val="Normal (Web)"/>
    <w:basedOn w:val="Normal"/>
    <w:uiPriority w:val="99"/>
    <w:rsid w:val="00AB79DD"/>
    <w:pPr>
      <w:spacing w:before="100" w:beforeAutospacing="1" w:after="100" w:afterAutospacing="1"/>
    </w:pPr>
  </w:style>
  <w:style w:type="paragraph" w:styleId="ListParagraph">
    <w:name w:val="List Paragraph"/>
    <w:basedOn w:val="Normal"/>
    <w:uiPriority w:val="34"/>
    <w:qFormat/>
    <w:rsid w:val="00AB79DD"/>
    <w:pPr>
      <w:bidi/>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AB79DD"/>
    <w:rPr>
      <w:rFonts w:ascii="Tahoma" w:hAnsi="Tahoma" w:cs="Tahoma"/>
      <w:sz w:val="16"/>
      <w:szCs w:val="16"/>
    </w:rPr>
  </w:style>
  <w:style w:type="character" w:customStyle="1" w:styleId="BalloonTextChar">
    <w:name w:val="Balloon Text Char"/>
    <w:basedOn w:val="DefaultParagraphFont"/>
    <w:link w:val="BalloonText"/>
    <w:uiPriority w:val="99"/>
    <w:semiHidden/>
    <w:rsid w:val="00AB79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dabuse.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Figure (1)</a:t>
            </a:r>
            <a:r>
              <a:rPr lang="en-US" sz="1000" b="1" i="0" u="none" strike="noStrike" baseline="0">
                <a:effectLst/>
              </a:rPr>
              <a:t> Distribution of percentage of ever-married women age 15-49 who agree that a husband is justified to beat wife for refusing sex vs. other reasons by governorate, Egypt 2014</a:t>
            </a:r>
            <a:r>
              <a:rPr lang="en-US" sz="1000"/>
              <a:t> </a:t>
            </a:r>
          </a:p>
        </c:rich>
      </c:tx>
      <c:overlay val="0"/>
    </c:title>
    <c:autoTitleDeleted val="0"/>
    <c:plotArea>
      <c:layout>
        <c:manualLayout>
          <c:layoutTarget val="inner"/>
          <c:xMode val="edge"/>
          <c:yMode val="edge"/>
          <c:x val="5.9619575623233972E-2"/>
          <c:y val="0.21525749711079242"/>
          <c:w val="0.91737534097790441"/>
          <c:h val="0.35770284992071705"/>
        </c:manualLayout>
      </c:layout>
      <c:barChart>
        <c:barDir val="col"/>
        <c:grouping val="clustered"/>
        <c:varyColors val="0"/>
        <c:ser>
          <c:idx val="0"/>
          <c:order val="0"/>
          <c:tx>
            <c:strRef>
              <c:f>Sheet1!$B$1</c:f>
              <c:strCache>
                <c:ptCount val="1"/>
                <c:pt idx="0">
                  <c:v>Burns the food</c:v>
                </c:pt>
              </c:strCache>
            </c:strRef>
          </c:tx>
          <c:invertIfNegative val="0"/>
          <c:cat>
            <c:strRef>
              <c:f>Sheet1!$A$2:$A$26</c:f>
              <c:strCache>
                <c:ptCount val="24"/>
                <c:pt idx="0">
                  <c:v>Qena</c:v>
                </c:pt>
                <c:pt idx="1">
                  <c:v>Luxor</c:v>
                </c:pt>
                <c:pt idx="2">
                  <c:v>Fayoum</c:v>
                </c:pt>
                <c:pt idx="3">
                  <c:v>Souhag</c:v>
                </c:pt>
                <c:pt idx="4">
                  <c:v>Menya</c:v>
                </c:pt>
                <c:pt idx="5">
                  <c:v>Matroh</c:v>
                </c:pt>
                <c:pt idx="6">
                  <c:v>Behera</c:v>
                </c:pt>
                <c:pt idx="7">
                  <c:v>Sharkia</c:v>
                </c:pt>
                <c:pt idx="8">
                  <c:v>Assuit</c:v>
                </c:pt>
                <c:pt idx="9">
                  <c:v>Menoufia</c:v>
                </c:pt>
                <c:pt idx="10">
                  <c:v>Kalyubia</c:v>
                </c:pt>
                <c:pt idx="11">
                  <c:v>Dakahlia</c:v>
                </c:pt>
                <c:pt idx="12">
                  <c:v>Gharbia</c:v>
                </c:pt>
                <c:pt idx="13">
                  <c:v>Beni Suef</c:v>
                </c:pt>
                <c:pt idx="14">
                  <c:v>Aswan</c:v>
                </c:pt>
                <c:pt idx="15">
                  <c:v>Alexandria</c:v>
                </c:pt>
                <c:pt idx="16">
                  <c:v>Giza</c:v>
                </c:pt>
                <c:pt idx="17">
                  <c:v>Ismailia</c:v>
                </c:pt>
                <c:pt idx="18">
                  <c:v>Damietta</c:v>
                </c:pt>
                <c:pt idx="19">
                  <c:v>New Valley</c:v>
                </c:pt>
                <c:pt idx="20">
                  <c:v>Port Said</c:v>
                </c:pt>
                <c:pt idx="21">
                  <c:v>Red Sea</c:v>
                </c:pt>
                <c:pt idx="22">
                  <c:v>Suez</c:v>
                </c:pt>
                <c:pt idx="23">
                  <c:v>Kafr El-Sheikh</c:v>
                </c:pt>
              </c:strCache>
            </c:strRef>
          </c:cat>
          <c:val>
            <c:numRef>
              <c:f>Sheet1!$B$2:$B$26</c:f>
              <c:numCache>
                <c:formatCode>General</c:formatCode>
                <c:ptCount val="25"/>
                <c:pt idx="0">
                  <c:v>19.3</c:v>
                </c:pt>
                <c:pt idx="1">
                  <c:v>15.3</c:v>
                </c:pt>
                <c:pt idx="2">
                  <c:v>9.3000000000000007</c:v>
                </c:pt>
                <c:pt idx="3">
                  <c:v>22.5</c:v>
                </c:pt>
                <c:pt idx="4">
                  <c:v>17.8</c:v>
                </c:pt>
                <c:pt idx="5">
                  <c:v>4.2</c:v>
                </c:pt>
                <c:pt idx="6">
                  <c:v>5</c:v>
                </c:pt>
                <c:pt idx="7">
                  <c:v>7</c:v>
                </c:pt>
                <c:pt idx="8">
                  <c:v>6.6</c:v>
                </c:pt>
                <c:pt idx="9">
                  <c:v>1.5</c:v>
                </c:pt>
                <c:pt idx="10">
                  <c:v>8.6999999999999993</c:v>
                </c:pt>
                <c:pt idx="11">
                  <c:v>6.2</c:v>
                </c:pt>
                <c:pt idx="12">
                  <c:v>7.2</c:v>
                </c:pt>
                <c:pt idx="13">
                  <c:v>4.9000000000000004</c:v>
                </c:pt>
                <c:pt idx="14">
                  <c:v>6</c:v>
                </c:pt>
                <c:pt idx="15">
                  <c:v>4.0999999999999996</c:v>
                </c:pt>
                <c:pt idx="16">
                  <c:v>3.6</c:v>
                </c:pt>
                <c:pt idx="17">
                  <c:v>3.8</c:v>
                </c:pt>
                <c:pt idx="18">
                  <c:v>1</c:v>
                </c:pt>
                <c:pt idx="19">
                  <c:v>0.8</c:v>
                </c:pt>
                <c:pt idx="20">
                  <c:v>0.7</c:v>
                </c:pt>
                <c:pt idx="21">
                  <c:v>1.6</c:v>
                </c:pt>
                <c:pt idx="22">
                  <c:v>1</c:v>
                </c:pt>
                <c:pt idx="23">
                  <c:v>0</c:v>
                </c:pt>
              </c:numCache>
            </c:numRef>
          </c:val>
        </c:ser>
        <c:ser>
          <c:idx val="1"/>
          <c:order val="1"/>
          <c:tx>
            <c:strRef>
              <c:f>Sheet1!$C$1</c:f>
              <c:strCache>
                <c:ptCount val="1"/>
                <c:pt idx="0">
                  <c:v>Argues with him</c:v>
                </c:pt>
              </c:strCache>
            </c:strRef>
          </c:tx>
          <c:invertIfNegative val="0"/>
          <c:cat>
            <c:strRef>
              <c:f>Sheet1!$A$2:$A$26</c:f>
              <c:strCache>
                <c:ptCount val="24"/>
                <c:pt idx="0">
                  <c:v>Qena</c:v>
                </c:pt>
                <c:pt idx="1">
                  <c:v>Luxor</c:v>
                </c:pt>
                <c:pt idx="2">
                  <c:v>Fayoum</c:v>
                </c:pt>
                <c:pt idx="3">
                  <c:v>Souhag</c:v>
                </c:pt>
                <c:pt idx="4">
                  <c:v>Menya</c:v>
                </c:pt>
                <c:pt idx="5">
                  <c:v>Matroh</c:v>
                </c:pt>
                <c:pt idx="6">
                  <c:v>Behera</c:v>
                </c:pt>
                <c:pt idx="7">
                  <c:v>Sharkia</c:v>
                </c:pt>
                <c:pt idx="8">
                  <c:v>Assuit</c:v>
                </c:pt>
                <c:pt idx="9">
                  <c:v>Menoufia</c:v>
                </c:pt>
                <c:pt idx="10">
                  <c:v>Kalyubia</c:v>
                </c:pt>
                <c:pt idx="11">
                  <c:v>Dakahlia</c:v>
                </c:pt>
                <c:pt idx="12">
                  <c:v>Gharbia</c:v>
                </c:pt>
                <c:pt idx="13">
                  <c:v>Beni Suef</c:v>
                </c:pt>
                <c:pt idx="14">
                  <c:v>Aswan</c:v>
                </c:pt>
                <c:pt idx="15">
                  <c:v>Alexandria</c:v>
                </c:pt>
                <c:pt idx="16">
                  <c:v>Giza</c:v>
                </c:pt>
                <c:pt idx="17">
                  <c:v>Ismailia</c:v>
                </c:pt>
                <c:pt idx="18">
                  <c:v>Damietta</c:v>
                </c:pt>
                <c:pt idx="19">
                  <c:v>New Valley</c:v>
                </c:pt>
                <c:pt idx="20">
                  <c:v>Port Said</c:v>
                </c:pt>
                <c:pt idx="21">
                  <c:v>Red Sea</c:v>
                </c:pt>
                <c:pt idx="22">
                  <c:v>Suez</c:v>
                </c:pt>
                <c:pt idx="23">
                  <c:v>Kafr El-Sheikh</c:v>
                </c:pt>
              </c:strCache>
            </c:strRef>
          </c:cat>
          <c:val>
            <c:numRef>
              <c:f>Sheet1!$C$2:$C$26</c:f>
              <c:numCache>
                <c:formatCode>General</c:formatCode>
                <c:ptCount val="25"/>
                <c:pt idx="0">
                  <c:v>33</c:v>
                </c:pt>
                <c:pt idx="1">
                  <c:v>24.6</c:v>
                </c:pt>
                <c:pt idx="2">
                  <c:v>24</c:v>
                </c:pt>
                <c:pt idx="3">
                  <c:v>33</c:v>
                </c:pt>
                <c:pt idx="4">
                  <c:v>25.1</c:v>
                </c:pt>
                <c:pt idx="5">
                  <c:v>12.2</c:v>
                </c:pt>
                <c:pt idx="6">
                  <c:v>12.9</c:v>
                </c:pt>
                <c:pt idx="7">
                  <c:v>11.6</c:v>
                </c:pt>
                <c:pt idx="8">
                  <c:v>18.3</c:v>
                </c:pt>
                <c:pt idx="9">
                  <c:v>2.6</c:v>
                </c:pt>
                <c:pt idx="10">
                  <c:v>13.4</c:v>
                </c:pt>
                <c:pt idx="11">
                  <c:v>8.6999999999999993</c:v>
                </c:pt>
                <c:pt idx="12">
                  <c:v>17.5</c:v>
                </c:pt>
                <c:pt idx="13">
                  <c:v>12.1</c:v>
                </c:pt>
                <c:pt idx="14">
                  <c:v>11.6</c:v>
                </c:pt>
                <c:pt idx="15">
                  <c:v>4.5999999999999996</c:v>
                </c:pt>
                <c:pt idx="16">
                  <c:v>7</c:v>
                </c:pt>
                <c:pt idx="17">
                  <c:v>6.7</c:v>
                </c:pt>
                <c:pt idx="18">
                  <c:v>0.5</c:v>
                </c:pt>
                <c:pt idx="19">
                  <c:v>6.4</c:v>
                </c:pt>
                <c:pt idx="20">
                  <c:v>1.6</c:v>
                </c:pt>
                <c:pt idx="21">
                  <c:v>4.8</c:v>
                </c:pt>
                <c:pt idx="22">
                  <c:v>1.7</c:v>
                </c:pt>
                <c:pt idx="23">
                  <c:v>0.3</c:v>
                </c:pt>
              </c:numCache>
            </c:numRef>
          </c:val>
        </c:ser>
        <c:ser>
          <c:idx val="2"/>
          <c:order val="2"/>
          <c:tx>
            <c:strRef>
              <c:f>Sheet1!$D$1</c:f>
              <c:strCache>
                <c:ptCount val="1"/>
                <c:pt idx="0">
                  <c:v>Goes out without telling him</c:v>
                </c:pt>
              </c:strCache>
            </c:strRef>
          </c:tx>
          <c:invertIfNegative val="0"/>
          <c:cat>
            <c:strRef>
              <c:f>Sheet1!$A$2:$A$26</c:f>
              <c:strCache>
                <c:ptCount val="24"/>
                <c:pt idx="0">
                  <c:v>Qena</c:v>
                </c:pt>
                <c:pt idx="1">
                  <c:v>Luxor</c:v>
                </c:pt>
                <c:pt idx="2">
                  <c:v>Fayoum</c:v>
                </c:pt>
                <c:pt idx="3">
                  <c:v>Souhag</c:v>
                </c:pt>
                <c:pt idx="4">
                  <c:v>Menya</c:v>
                </c:pt>
                <c:pt idx="5">
                  <c:v>Matroh</c:v>
                </c:pt>
                <c:pt idx="6">
                  <c:v>Behera</c:v>
                </c:pt>
                <c:pt idx="7">
                  <c:v>Sharkia</c:v>
                </c:pt>
                <c:pt idx="8">
                  <c:v>Assuit</c:v>
                </c:pt>
                <c:pt idx="9">
                  <c:v>Menoufia</c:v>
                </c:pt>
                <c:pt idx="10">
                  <c:v>Kalyubia</c:v>
                </c:pt>
                <c:pt idx="11">
                  <c:v>Dakahlia</c:v>
                </c:pt>
                <c:pt idx="12">
                  <c:v>Gharbia</c:v>
                </c:pt>
                <c:pt idx="13">
                  <c:v>Beni Suef</c:v>
                </c:pt>
                <c:pt idx="14">
                  <c:v>Aswan</c:v>
                </c:pt>
                <c:pt idx="15">
                  <c:v>Alexandria</c:v>
                </c:pt>
                <c:pt idx="16">
                  <c:v>Giza</c:v>
                </c:pt>
                <c:pt idx="17">
                  <c:v>Ismailia</c:v>
                </c:pt>
                <c:pt idx="18">
                  <c:v>Damietta</c:v>
                </c:pt>
                <c:pt idx="19">
                  <c:v>New Valley</c:v>
                </c:pt>
                <c:pt idx="20">
                  <c:v>Port Said</c:v>
                </c:pt>
                <c:pt idx="21">
                  <c:v>Red Sea</c:v>
                </c:pt>
                <c:pt idx="22">
                  <c:v>Suez</c:v>
                </c:pt>
                <c:pt idx="23">
                  <c:v>Kafr El-Sheikh</c:v>
                </c:pt>
              </c:strCache>
            </c:strRef>
          </c:cat>
          <c:val>
            <c:numRef>
              <c:f>Sheet1!$D$2:$D$26</c:f>
              <c:numCache>
                <c:formatCode>General</c:formatCode>
                <c:ptCount val="25"/>
                <c:pt idx="0">
                  <c:v>58.8</c:v>
                </c:pt>
                <c:pt idx="1">
                  <c:v>40.799999999999997</c:v>
                </c:pt>
                <c:pt idx="2">
                  <c:v>30.3</c:v>
                </c:pt>
                <c:pt idx="3">
                  <c:v>50.1</c:v>
                </c:pt>
                <c:pt idx="4">
                  <c:v>50.5</c:v>
                </c:pt>
                <c:pt idx="5">
                  <c:v>21.1</c:v>
                </c:pt>
                <c:pt idx="6">
                  <c:v>22.8</c:v>
                </c:pt>
                <c:pt idx="7">
                  <c:v>28</c:v>
                </c:pt>
                <c:pt idx="8">
                  <c:v>60.3</c:v>
                </c:pt>
                <c:pt idx="9">
                  <c:v>6.9</c:v>
                </c:pt>
                <c:pt idx="10">
                  <c:v>22.3</c:v>
                </c:pt>
                <c:pt idx="11">
                  <c:v>21</c:v>
                </c:pt>
                <c:pt idx="12">
                  <c:v>26.3</c:v>
                </c:pt>
                <c:pt idx="13">
                  <c:v>26.7</c:v>
                </c:pt>
                <c:pt idx="14">
                  <c:v>21</c:v>
                </c:pt>
                <c:pt idx="15">
                  <c:v>9.6999999999999993</c:v>
                </c:pt>
                <c:pt idx="16">
                  <c:v>14.8</c:v>
                </c:pt>
                <c:pt idx="17">
                  <c:v>18.5</c:v>
                </c:pt>
                <c:pt idx="18">
                  <c:v>9.5</c:v>
                </c:pt>
                <c:pt idx="19">
                  <c:v>29.8</c:v>
                </c:pt>
                <c:pt idx="20">
                  <c:v>5.4</c:v>
                </c:pt>
                <c:pt idx="21">
                  <c:v>13.4</c:v>
                </c:pt>
                <c:pt idx="22">
                  <c:v>5.0999999999999996</c:v>
                </c:pt>
                <c:pt idx="23">
                  <c:v>7.6</c:v>
                </c:pt>
              </c:numCache>
            </c:numRef>
          </c:val>
        </c:ser>
        <c:ser>
          <c:idx val="3"/>
          <c:order val="3"/>
          <c:tx>
            <c:strRef>
              <c:f>Sheet1!$E$1</c:f>
              <c:strCache>
                <c:ptCount val="1"/>
                <c:pt idx="0">
                  <c:v>Neglects children</c:v>
                </c:pt>
              </c:strCache>
            </c:strRef>
          </c:tx>
          <c:invertIfNegative val="0"/>
          <c:cat>
            <c:strRef>
              <c:f>Sheet1!$A$2:$A$26</c:f>
              <c:strCache>
                <c:ptCount val="24"/>
                <c:pt idx="0">
                  <c:v>Qena</c:v>
                </c:pt>
                <c:pt idx="1">
                  <c:v>Luxor</c:v>
                </c:pt>
                <c:pt idx="2">
                  <c:v>Fayoum</c:v>
                </c:pt>
                <c:pt idx="3">
                  <c:v>Souhag</c:v>
                </c:pt>
                <c:pt idx="4">
                  <c:v>Menya</c:v>
                </c:pt>
                <c:pt idx="5">
                  <c:v>Matroh</c:v>
                </c:pt>
                <c:pt idx="6">
                  <c:v>Behera</c:v>
                </c:pt>
                <c:pt idx="7">
                  <c:v>Sharkia</c:v>
                </c:pt>
                <c:pt idx="8">
                  <c:v>Assuit</c:v>
                </c:pt>
                <c:pt idx="9">
                  <c:v>Menoufia</c:v>
                </c:pt>
                <c:pt idx="10">
                  <c:v>Kalyubia</c:v>
                </c:pt>
                <c:pt idx="11">
                  <c:v>Dakahlia</c:v>
                </c:pt>
                <c:pt idx="12">
                  <c:v>Gharbia</c:v>
                </c:pt>
                <c:pt idx="13">
                  <c:v>Beni Suef</c:v>
                </c:pt>
                <c:pt idx="14">
                  <c:v>Aswan</c:v>
                </c:pt>
                <c:pt idx="15">
                  <c:v>Alexandria</c:v>
                </c:pt>
                <c:pt idx="16">
                  <c:v>Giza</c:v>
                </c:pt>
                <c:pt idx="17">
                  <c:v>Ismailia</c:v>
                </c:pt>
                <c:pt idx="18">
                  <c:v>Damietta</c:v>
                </c:pt>
                <c:pt idx="19">
                  <c:v>New Valley</c:v>
                </c:pt>
                <c:pt idx="20">
                  <c:v>Port Said</c:v>
                </c:pt>
                <c:pt idx="21">
                  <c:v>Red Sea</c:v>
                </c:pt>
                <c:pt idx="22">
                  <c:v>Suez</c:v>
                </c:pt>
                <c:pt idx="23">
                  <c:v>Kafr El-Sheikh</c:v>
                </c:pt>
              </c:strCache>
            </c:strRef>
          </c:cat>
          <c:val>
            <c:numRef>
              <c:f>Sheet1!$E$2:$E$26</c:f>
              <c:numCache>
                <c:formatCode>General</c:formatCode>
                <c:ptCount val="25"/>
                <c:pt idx="0">
                  <c:v>57.6</c:v>
                </c:pt>
                <c:pt idx="1">
                  <c:v>40.700000000000003</c:v>
                </c:pt>
                <c:pt idx="2">
                  <c:v>34.1</c:v>
                </c:pt>
                <c:pt idx="3">
                  <c:v>46.9</c:v>
                </c:pt>
                <c:pt idx="4">
                  <c:v>46</c:v>
                </c:pt>
                <c:pt idx="5">
                  <c:v>12.4</c:v>
                </c:pt>
                <c:pt idx="6">
                  <c:v>19</c:v>
                </c:pt>
                <c:pt idx="7">
                  <c:v>29.4</c:v>
                </c:pt>
                <c:pt idx="8">
                  <c:v>40.200000000000003</c:v>
                </c:pt>
                <c:pt idx="9">
                  <c:v>4.5999999999999996</c:v>
                </c:pt>
                <c:pt idx="10">
                  <c:v>29.7</c:v>
                </c:pt>
                <c:pt idx="11">
                  <c:v>22.7</c:v>
                </c:pt>
                <c:pt idx="12">
                  <c:v>25.8</c:v>
                </c:pt>
                <c:pt idx="13">
                  <c:v>26</c:v>
                </c:pt>
                <c:pt idx="14">
                  <c:v>21.6</c:v>
                </c:pt>
                <c:pt idx="15">
                  <c:v>10.7</c:v>
                </c:pt>
                <c:pt idx="16">
                  <c:v>13.6</c:v>
                </c:pt>
                <c:pt idx="17">
                  <c:v>19.899999999999999</c:v>
                </c:pt>
                <c:pt idx="18">
                  <c:v>10</c:v>
                </c:pt>
                <c:pt idx="19">
                  <c:v>21.8</c:v>
                </c:pt>
                <c:pt idx="20">
                  <c:v>5.4</c:v>
                </c:pt>
                <c:pt idx="21">
                  <c:v>8.6999999999999993</c:v>
                </c:pt>
                <c:pt idx="22">
                  <c:v>4.7</c:v>
                </c:pt>
                <c:pt idx="23">
                  <c:v>8.6</c:v>
                </c:pt>
              </c:numCache>
            </c:numRef>
          </c:val>
        </c:ser>
        <c:dLbls>
          <c:showLegendKey val="0"/>
          <c:showVal val="0"/>
          <c:showCatName val="0"/>
          <c:showSerName val="0"/>
          <c:showPercent val="0"/>
          <c:showBubbleSize val="0"/>
        </c:dLbls>
        <c:gapWidth val="75"/>
        <c:axId val="86749952"/>
        <c:axId val="86751488"/>
      </c:barChart>
      <c:lineChart>
        <c:grouping val="standard"/>
        <c:varyColors val="0"/>
        <c:ser>
          <c:idx val="4"/>
          <c:order val="4"/>
          <c:tx>
            <c:strRef>
              <c:f>Sheet1!$F$1</c:f>
              <c:strCache>
                <c:ptCount val="1"/>
                <c:pt idx="0">
                  <c:v>Refuses sex</c:v>
                </c:pt>
              </c:strCache>
            </c:strRef>
          </c:tx>
          <c:cat>
            <c:strRef>
              <c:f>Sheet1!$A$2:$A$26</c:f>
              <c:strCache>
                <c:ptCount val="24"/>
                <c:pt idx="0">
                  <c:v>Qena</c:v>
                </c:pt>
                <c:pt idx="1">
                  <c:v>Luxor</c:v>
                </c:pt>
                <c:pt idx="2">
                  <c:v>Fayoum</c:v>
                </c:pt>
                <c:pt idx="3">
                  <c:v>Souhag</c:v>
                </c:pt>
                <c:pt idx="4">
                  <c:v>Menya</c:v>
                </c:pt>
                <c:pt idx="5">
                  <c:v>Matroh</c:v>
                </c:pt>
                <c:pt idx="6">
                  <c:v>Behera</c:v>
                </c:pt>
                <c:pt idx="7">
                  <c:v>Sharkia</c:v>
                </c:pt>
                <c:pt idx="8">
                  <c:v>Assuit</c:v>
                </c:pt>
                <c:pt idx="9">
                  <c:v>Menoufia</c:v>
                </c:pt>
                <c:pt idx="10">
                  <c:v>Kalyubia</c:v>
                </c:pt>
                <c:pt idx="11">
                  <c:v>Dakahlia</c:v>
                </c:pt>
                <c:pt idx="12">
                  <c:v>Gharbia</c:v>
                </c:pt>
                <c:pt idx="13">
                  <c:v>Beni Suef</c:v>
                </c:pt>
                <c:pt idx="14">
                  <c:v>Aswan</c:v>
                </c:pt>
                <c:pt idx="15">
                  <c:v>Alexandria</c:v>
                </c:pt>
                <c:pt idx="16">
                  <c:v>Giza</c:v>
                </c:pt>
                <c:pt idx="17">
                  <c:v>Ismailia</c:v>
                </c:pt>
                <c:pt idx="18">
                  <c:v>Damietta</c:v>
                </c:pt>
                <c:pt idx="19">
                  <c:v>New Valley</c:v>
                </c:pt>
                <c:pt idx="20">
                  <c:v>Port Said</c:v>
                </c:pt>
                <c:pt idx="21">
                  <c:v>Red Sea</c:v>
                </c:pt>
                <c:pt idx="22">
                  <c:v>Suez</c:v>
                </c:pt>
                <c:pt idx="23">
                  <c:v>Kafr El-Sheikh</c:v>
                </c:pt>
              </c:strCache>
            </c:strRef>
          </c:cat>
          <c:val>
            <c:numRef>
              <c:f>Sheet1!$F$2:$F$26</c:f>
              <c:numCache>
                <c:formatCode>General</c:formatCode>
                <c:ptCount val="25"/>
                <c:pt idx="0">
                  <c:v>59.4</c:v>
                </c:pt>
                <c:pt idx="1">
                  <c:v>39.799999999999997</c:v>
                </c:pt>
                <c:pt idx="2">
                  <c:v>38.9</c:v>
                </c:pt>
                <c:pt idx="3">
                  <c:v>31.9</c:v>
                </c:pt>
                <c:pt idx="4">
                  <c:v>27.3</c:v>
                </c:pt>
                <c:pt idx="5">
                  <c:v>25.8</c:v>
                </c:pt>
                <c:pt idx="6">
                  <c:v>25</c:v>
                </c:pt>
                <c:pt idx="7">
                  <c:v>23.8</c:v>
                </c:pt>
                <c:pt idx="8">
                  <c:v>22.5</c:v>
                </c:pt>
                <c:pt idx="9">
                  <c:v>21.3</c:v>
                </c:pt>
                <c:pt idx="10">
                  <c:v>20.7</c:v>
                </c:pt>
                <c:pt idx="11">
                  <c:v>17.399999999999999</c:v>
                </c:pt>
                <c:pt idx="12">
                  <c:v>17.399999999999999</c:v>
                </c:pt>
                <c:pt idx="13">
                  <c:v>17.3</c:v>
                </c:pt>
                <c:pt idx="14">
                  <c:v>15.9</c:v>
                </c:pt>
                <c:pt idx="15">
                  <c:v>10</c:v>
                </c:pt>
                <c:pt idx="16">
                  <c:v>9.8000000000000007</c:v>
                </c:pt>
                <c:pt idx="17">
                  <c:v>8.6</c:v>
                </c:pt>
                <c:pt idx="18">
                  <c:v>5.5</c:v>
                </c:pt>
                <c:pt idx="19">
                  <c:v>4.0999999999999996</c:v>
                </c:pt>
                <c:pt idx="20">
                  <c:v>4</c:v>
                </c:pt>
                <c:pt idx="21">
                  <c:v>3.4</c:v>
                </c:pt>
                <c:pt idx="22">
                  <c:v>3.3</c:v>
                </c:pt>
                <c:pt idx="23">
                  <c:v>0.3</c:v>
                </c:pt>
              </c:numCache>
            </c:numRef>
          </c:val>
          <c:smooth val="0"/>
        </c:ser>
        <c:dLbls>
          <c:showLegendKey val="0"/>
          <c:showVal val="0"/>
          <c:showCatName val="0"/>
          <c:showSerName val="0"/>
          <c:showPercent val="0"/>
          <c:showBubbleSize val="0"/>
        </c:dLbls>
        <c:marker val="1"/>
        <c:smooth val="0"/>
        <c:axId val="86749952"/>
        <c:axId val="86751488"/>
      </c:lineChart>
      <c:catAx>
        <c:axId val="86749952"/>
        <c:scaling>
          <c:orientation val="minMax"/>
        </c:scaling>
        <c:delete val="0"/>
        <c:axPos val="b"/>
        <c:majorTickMark val="none"/>
        <c:minorTickMark val="none"/>
        <c:tickLblPos val="nextTo"/>
        <c:txPr>
          <a:bodyPr/>
          <a:lstStyle/>
          <a:p>
            <a:pPr>
              <a:defRPr sz="800" b="1"/>
            </a:pPr>
            <a:endParaRPr lang="en-US"/>
          </a:p>
        </c:txPr>
        <c:crossAx val="86751488"/>
        <c:crosses val="autoZero"/>
        <c:auto val="1"/>
        <c:lblAlgn val="ctr"/>
        <c:lblOffset val="100"/>
        <c:noMultiLvlLbl val="0"/>
      </c:catAx>
      <c:valAx>
        <c:axId val="86751488"/>
        <c:scaling>
          <c:orientation val="minMax"/>
        </c:scaling>
        <c:delete val="0"/>
        <c:axPos val="l"/>
        <c:majorGridlines/>
        <c:numFmt formatCode="General" sourceLinked="1"/>
        <c:majorTickMark val="none"/>
        <c:minorTickMark val="none"/>
        <c:tickLblPos val="nextTo"/>
        <c:spPr>
          <a:ln w="9525">
            <a:noFill/>
          </a:ln>
        </c:spPr>
        <c:crossAx val="86749952"/>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Figure (2) </a:t>
            </a:r>
            <a:r>
              <a:rPr lang="en-US" sz="1000" b="1" i="0" u="none" strike="noStrike" baseline="0">
                <a:effectLst/>
              </a:rPr>
              <a:t>Distribution of percentage of ever-married women age 15-49 who agree that a husband is justified to beat wife who refuses intercourse, beating for any reason and obesity by governorate in Egypt</a:t>
            </a:r>
            <a:r>
              <a:rPr lang="en-US" sz="1000"/>
              <a:t> </a:t>
            </a:r>
          </a:p>
        </c:rich>
      </c:tx>
      <c:overlay val="1"/>
    </c:title>
    <c:autoTitleDeleted val="0"/>
    <c:plotArea>
      <c:layout>
        <c:manualLayout>
          <c:layoutTarget val="inner"/>
          <c:xMode val="edge"/>
          <c:yMode val="edge"/>
          <c:x val="9.068077427821522E-2"/>
          <c:y val="0.23850206224221973"/>
          <c:w val="0.88385626275882179"/>
          <c:h val="0.3672772153480815"/>
        </c:manualLayout>
      </c:layout>
      <c:lineChart>
        <c:grouping val="standard"/>
        <c:varyColors val="0"/>
        <c:ser>
          <c:idx val="0"/>
          <c:order val="0"/>
          <c:tx>
            <c:strRef>
              <c:f>Sheet1!$B$1</c:f>
              <c:strCache>
                <c:ptCount val="1"/>
                <c:pt idx="0">
                  <c:v>Beating wife when she refuses intercourse with husband</c:v>
                </c:pt>
              </c:strCache>
            </c:strRef>
          </c:tx>
          <c:cat>
            <c:strRef>
              <c:f>Sheet1!$A$2:$A$26</c:f>
              <c:strCache>
                <c:ptCount val="25"/>
                <c:pt idx="0">
                  <c:v>Kafr El-Sheikh</c:v>
                </c:pt>
                <c:pt idx="1">
                  <c:v>Suez</c:v>
                </c:pt>
                <c:pt idx="2">
                  <c:v>Red Sea</c:v>
                </c:pt>
                <c:pt idx="3">
                  <c:v>Port Said</c:v>
                </c:pt>
                <c:pt idx="4">
                  <c:v>New Valley</c:v>
                </c:pt>
                <c:pt idx="5">
                  <c:v>Damietta</c:v>
                </c:pt>
                <c:pt idx="6">
                  <c:v>Cairo</c:v>
                </c:pt>
                <c:pt idx="7">
                  <c:v>Ismailia</c:v>
                </c:pt>
                <c:pt idx="8">
                  <c:v>Giza</c:v>
                </c:pt>
                <c:pt idx="9">
                  <c:v>Alexandria</c:v>
                </c:pt>
                <c:pt idx="10">
                  <c:v>Aswan</c:v>
                </c:pt>
                <c:pt idx="11">
                  <c:v>Beni Suef</c:v>
                </c:pt>
                <c:pt idx="12">
                  <c:v>Dakahlia</c:v>
                </c:pt>
                <c:pt idx="13">
                  <c:v>Gharbia</c:v>
                </c:pt>
                <c:pt idx="14">
                  <c:v>Kalyubia</c:v>
                </c:pt>
                <c:pt idx="15">
                  <c:v>Menoufia</c:v>
                </c:pt>
                <c:pt idx="16">
                  <c:v>Assuit</c:v>
                </c:pt>
                <c:pt idx="17">
                  <c:v>Sharkia</c:v>
                </c:pt>
                <c:pt idx="18">
                  <c:v>Behera</c:v>
                </c:pt>
                <c:pt idx="19">
                  <c:v>Matroh</c:v>
                </c:pt>
                <c:pt idx="20">
                  <c:v>Menya</c:v>
                </c:pt>
                <c:pt idx="21">
                  <c:v>Souhag</c:v>
                </c:pt>
                <c:pt idx="22">
                  <c:v>Fayoum</c:v>
                </c:pt>
                <c:pt idx="23">
                  <c:v>Luxor</c:v>
                </c:pt>
                <c:pt idx="24">
                  <c:v>Qena</c:v>
                </c:pt>
              </c:strCache>
            </c:strRef>
          </c:cat>
          <c:val>
            <c:numRef>
              <c:f>Sheet1!$B$2:$B$26</c:f>
              <c:numCache>
                <c:formatCode>General</c:formatCode>
                <c:ptCount val="25"/>
                <c:pt idx="0">
                  <c:v>0.3</c:v>
                </c:pt>
                <c:pt idx="1">
                  <c:v>3.3</c:v>
                </c:pt>
                <c:pt idx="2">
                  <c:v>3.4</c:v>
                </c:pt>
                <c:pt idx="3">
                  <c:v>4</c:v>
                </c:pt>
                <c:pt idx="4">
                  <c:v>4.0999999999999996</c:v>
                </c:pt>
                <c:pt idx="5">
                  <c:v>5.5</c:v>
                </c:pt>
                <c:pt idx="6">
                  <c:v>7.9</c:v>
                </c:pt>
                <c:pt idx="7">
                  <c:v>8.6</c:v>
                </c:pt>
                <c:pt idx="8">
                  <c:v>9.8000000000000007</c:v>
                </c:pt>
                <c:pt idx="9">
                  <c:v>10</c:v>
                </c:pt>
                <c:pt idx="10">
                  <c:v>15.9</c:v>
                </c:pt>
                <c:pt idx="11">
                  <c:v>17.3</c:v>
                </c:pt>
                <c:pt idx="12">
                  <c:v>17.399999999999999</c:v>
                </c:pt>
                <c:pt idx="13">
                  <c:v>17.399999999999999</c:v>
                </c:pt>
                <c:pt idx="14">
                  <c:v>20.7</c:v>
                </c:pt>
                <c:pt idx="15">
                  <c:v>21.3</c:v>
                </c:pt>
                <c:pt idx="16">
                  <c:v>22.5</c:v>
                </c:pt>
                <c:pt idx="17">
                  <c:v>23.8</c:v>
                </c:pt>
                <c:pt idx="18">
                  <c:v>25</c:v>
                </c:pt>
                <c:pt idx="19">
                  <c:v>25.8</c:v>
                </c:pt>
                <c:pt idx="20">
                  <c:v>27.3</c:v>
                </c:pt>
                <c:pt idx="21">
                  <c:v>31.9</c:v>
                </c:pt>
                <c:pt idx="22">
                  <c:v>38.9</c:v>
                </c:pt>
                <c:pt idx="23">
                  <c:v>39.799999999999997</c:v>
                </c:pt>
                <c:pt idx="24">
                  <c:v>59.4</c:v>
                </c:pt>
              </c:numCache>
            </c:numRef>
          </c:val>
          <c:smooth val="0"/>
        </c:ser>
        <c:ser>
          <c:idx val="1"/>
          <c:order val="1"/>
          <c:tx>
            <c:strRef>
              <c:f>Sheet1!$C$1</c:f>
              <c:strCache>
                <c:ptCount val="1"/>
                <c:pt idx="0">
                  <c:v>Beating wife for any reason</c:v>
                </c:pt>
              </c:strCache>
            </c:strRef>
          </c:tx>
          <c:cat>
            <c:strRef>
              <c:f>Sheet1!$A$2:$A$26</c:f>
              <c:strCache>
                <c:ptCount val="25"/>
                <c:pt idx="0">
                  <c:v>Kafr El-Sheikh</c:v>
                </c:pt>
                <c:pt idx="1">
                  <c:v>Suez</c:v>
                </c:pt>
                <c:pt idx="2">
                  <c:v>Red Sea</c:v>
                </c:pt>
                <c:pt idx="3">
                  <c:v>Port Said</c:v>
                </c:pt>
                <c:pt idx="4">
                  <c:v>New Valley</c:v>
                </c:pt>
                <c:pt idx="5">
                  <c:v>Damietta</c:v>
                </c:pt>
                <c:pt idx="6">
                  <c:v>Cairo</c:v>
                </c:pt>
                <c:pt idx="7">
                  <c:v>Ismailia</c:v>
                </c:pt>
                <c:pt idx="8">
                  <c:v>Giza</c:v>
                </c:pt>
                <c:pt idx="9">
                  <c:v>Alexandria</c:v>
                </c:pt>
                <c:pt idx="10">
                  <c:v>Aswan</c:v>
                </c:pt>
                <c:pt idx="11">
                  <c:v>Beni Suef</c:v>
                </c:pt>
                <c:pt idx="12">
                  <c:v>Dakahlia</c:v>
                </c:pt>
                <c:pt idx="13">
                  <c:v>Gharbia</c:v>
                </c:pt>
                <c:pt idx="14">
                  <c:v>Kalyubia</c:v>
                </c:pt>
                <c:pt idx="15">
                  <c:v>Menoufia</c:v>
                </c:pt>
                <c:pt idx="16">
                  <c:v>Assuit</c:v>
                </c:pt>
                <c:pt idx="17">
                  <c:v>Sharkia</c:v>
                </c:pt>
                <c:pt idx="18">
                  <c:v>Behera</c:v>
                </c:pt>
                <c:pt idx="19">
                  <c:v>Matroh</c:v>
                </c:pt>
                <c:pt idx="20">
                  <c:v>Menya</c:v>
                </c:pt>
                <c:pt idx="21">
                  <c:v>Souhag</c:v>
                </c:pt>
                <c:pt idx="22">
                  <c:v>Fayoum</c:v>
                </c:pt>
                <c:pt idx="23">
                  <c:v>Luxor</c:v>
                </c:pt>
                <c:pt idx="24">
                  <c:v>Qena</c:v>
                </c:pt>
              </c:strCache>
            </c:strRef>
          </c:cat>
          <c:val>
            <c:numRef>
              <c:f>Sheet1!$C$2:$C$26</c:f>
              <c:numCache>
                <c:formatCode>General</c:formatCode>
                <c:ptCount val="25"/>
                <c:pt idx="0">
                  <c:v>10.9</c:v>
                </c:pt>
                <c:pt idx="1">
                  <c:v>6.8</c:v>
                </c:pt>
                <c:pt idx="2">
                  <c:v>15.9</c:v>
                </c:pt>
                <c:pt idx="3">
                  <c:v>10.1</c:v>
                </c:pt>
                <c:pt idx="4">
                  <c:v>31.4</c:v>
                </c:pt>
                <c:pt idx="5">
                  <c:v>15.5</c:v>
                </c:pt>
                <c:pt idx="6">
                  <c:v>13.9</c:v>
                </c:pt>
                <c:pt idx="7">
                  <c:v>27.6</c:v>
                </c:pt>
                <c:pt idx="8">
                  <c:v>19.2</c:v>
                </c:pt>
                <c:pt idx="9">
                  <c:v>14.9</c:v>
                </c:pt>
                <c:pt idx="10">
                  <c:v>29.3</c:v>
                </c:pt>
                <c:pt idx="11">
                  <c:v>36.6</c:v>
                </c:pt>
                <c:pt idx="12">
                  <c:v>36.9</c:v>
                </c:pt>
                <c:pt idx="13">
                  <c:v>38</c:v>
                </c:pt>
                <c:pt idx="14">
                  <c:v>39.299999999999997</c:v>
                </c:pt>
                <c:pt idx="15">
                  <c:v>25</c:v>
                </c:pt>
                <c:pt idx="16">
                  <c:v>67.8</c:v>
                </c:pt>
                <c:pt idx="17">
                  <c:v>36.6</c:v>
                </c:pt>
                <c:pt idx="18">
                  <c:v>35.799999999999997</c:v>
                </c:pt>
                <c:pt idx="19">
                  <c:v>36.6</c:v>
                </c:pt>
                <c:pt idx="20">
                  <c:v>58.2</c:v>
                </c:pt>
                <c:pt idx="21">
                  <c:v>59.2</c:v>
                </c:pt>
                <c:pt idx="22">
                  <c:v>49.8</c:v>
                </c:pt>
                <c:pt idx="23">
                  <c:v>55.9</c:v>
                </c:pt>
                <c:pt idx="24">
                  <c:v>76.599999999999994</c:v>
                </c:pt>
              </c:numCache>
            </c:numRef>
          </c:val>
          <c:smooth val="0"/>
        </c:ser>
        <c:ser>
          <c:idx val="2"/>
          <c:order val="2"/>
          <c:tx>
            <c:strRef>
              <c:f>Sheet1!$D$1</c:f>
              <c:strCache>
                <c:ptCount val="1"/>
                <c:pt idx="0">
                  <c:v>Obesity</c:v>
                </c:pt>
              </c:strCache>
            </c:strRef>
          </c:tx>
          <c:cat>
            <c:strRef>
              <c:f>Sheet1!$A$2:$A$26</c:f>
              <c:strCache>
                <c:ptCount val="25"/>
                <c:pt idx="0">
                  <c:v>Kafr El-Sheikh</c:v>
                </c:pt>
                <c:pt idx="1">
                  <c:v>Suez</c:v>
                </c:pt>
                <c:pt idx="2">
                  <c:v>Red Sea</c:v>
                </c:pt>
                <c:pt idx="3">
                  <c:v>Port Said</c:v>
                </c:pt>
                <c:pt idx="4">
                  <c:v>New Valley</c:v>
                </c:pt>
                <c:pt idx="5">
                  <c:v>Damietta</c:v>
                </c:pt>
                <c:pt idx="6">
                  <c:v>Cairo</c:v>
                </c:pt>
                <c:pt idx="7">
                  <c:v>Ismailia</c:v>
                </c:pt>
                <c:pt idx="8">
                  <c:v>Giza</c:v>
                </c:pt>
                <c:pt idx="9">
                  <c:v>Alexandria</c:v>
                </c:pt>
                <c:pt idx="10">
                  <c:v>Aswan</c:v>
                </c:pt>
                <c:pt idx="11">
                  <c:v>Beni Suef</c:v>
                </c:pt>
                <c:pt idx="12">
                  <c:v>Dakahlia</c:v>
                </c:pt>
                <c:pt idx="13">
                  <c:v>Gharbia</c:v>
                </c:pt>
                <c:pt idx="14">
                  <c:v>Kalyubia</c:v>
                </c:pt>
                <c:pt idx="15">
                  <c:v>Menoufia</c:v>
                </c:pt>
                <c:pt idx="16">
                  <c:v>Assuit</c:v>
                </c:pt>
                <c:pt idx="17">
                  <c:v>Sharkia</c:v>
                </c:pt>
                <c:pt idx="18">
                  <c:v>Behera</c:v>
                </c:pt>
                <c:pt idx="19">
                  <c:v>Matroh</c:v>
                </c:pt>
                <c:pt idx="20">
                  <c:v>Menya</c:v>
                </c:pt>
                <c:pt idx="21">
                  <c:v>Souhag</c:v>
                </c:pt>
                <c:pt idx="22">
                  <c:v>Fayoum</c:v>
                </c:pt>
                <c:pt idx="23">
                  <c:v>Luxor</c:v>
                </c:pt>
                <c:pt idx="24">
                  <c:v>Qena</c:v>
                </c:pt>
              </c:strCache>
            </c:strRef>
          </c:cat>
          <c:val>
            <c:numRef>
              <c:f>Sheet1!$D$2:$D$26</c:f>
              <c:numCache>
                <c:formatCode>General</c:formatCode>
                <c:ptCount val="25"/>
                <c:pt idx="0">
                  <c:v>84</c:v>
                </c:pt>
                <c:pt idx="1">
                  <c:v>89</c:v>
                </c:pt>
                <c:pt idx="2">
                  <c:v>80</c:v>
                </c:pt>
                <c:pt idx="3">
                  <c:v>95</c:v>
                </c:pt>
                <c:pt idx="4">
                  <c:v>86</c:v>
                </c:pt>
                <c:pt idx="5">
                  <c:v>94</c:v>
                </c:pt>
                <c:pt idx="6">
                  <c:v>87</c:v>
                </c:pt>
                <c:pt idx="7">
                  <c:v>82</c:v>
                </c:pt>
                <c:pt idx="8">
                  <c:v>93</c:v>
                </c:pt>
                <c:pt idx="9">
                  <c:v>86</c:v>
                </c:pt>
                <c:pt idx="10">
                  <c:v>83</c:v>
                </c:pt>
                <c:pt idx="11">
                  <c:v>81</c:v>
                </c:pt>
                <c:pt idx="12">
                  <c:v>93</c:v>
                </c:pt>
                <c:pt idx="13">
                  <c:v>88</c:v>
                </c:pt>
                <c:pt idx="14">
                  <c:v>87</c:v>
                </c:pt>
                <c:pt idx="15">
                  <c:v>82</c:v>
                </c:pt>
                <c:pt idx="16">
                  <c:v>79</c:v>
                </c:pt>
                <c:pt idx="17">
                  <c:v>87</c:v>
                </c:pt>
                <c:pt idx="18">
                  <c:v>84</c:v>
                </c:pt>
                <c:pt idx="19">
                  <c:v>79</c:v>
                </c:pt>
                <c:pt idx="20">
                  <c:v>74</c:v>
                </c:pt>
                <c:pt idx="21">
                  <c:v>76</c:v>
                </c:pt>
                <c:pt idx="22">
                  <c:v>72</c:v>
                </c:pt>
                <c:pt idx="23">
                  <c:v>77</c:v>
                </c:pt>
                <c:pt idx="24">
                  <c:v>72</c:v>
                </c:pt>
              </c:numCache>
            </c:numRef>
          </c:val>
          <c:smooth val="0"/>
        </c:ser>
        <c:dLbls>
          <c:showLegendKey val="0"/>
          <c:showVal val="0"/>
          <c:showCatName val="0"/>
          <c:showSerName val="0"/>
          <c:showPercent val="0"/>
          <c:showBubbleSize val="0"/>
        </c:dLbls>
        <c:marker val="1"/>
        <c:smooth val="0"/>
        <c:axId val="86982016"/>
        <c:axId val="87020672"/>
      </c:lineChart>
      <c:catAx>
        <c:axId val="86982016"/>
        <c:scaling>
          <c:orientation val="minMax"/>
        </c:scaling>
        <c:delete val="0"/>
        <c:axPos val="b"/>
        <c:majorTickMark val="none"/>
        <c:minorTickMark val="none"/>
        <c:tickLblPos val="nextTo"/>
        <c:txPr>
          <a:bodyPr/>
          <a:lstStyle/>
          <a:p>
            <a:pPr>
              <a:defRPr sz="800" b="1"/>
            </a:pPr>
            <a:endParaRPr lang="en-US"/>
          </a:p>
        </c:txPr>
        <c:crossAx val="87020672"/>
        <c:crosses val="autoZero"/>
        <c:auto val="1"/>
        <c:lblAlgn val="ctr"/>
        <c:lblOffset val="100"/>
        <c:noMultiLvlLbl val="0"/>
      </c:catAx>
      <c:valAx>
        <c:axId val="87020672"/>
        <c:scaling>
          <c:orientation val="minMax"/>
        </c:scaling>
        <c:delete val="0"/>
        <c:axPos val="l"/>
        <c:numFmt formatCode="General" sourceLinked="1"/>
        <c:majorTickMark val="none"/>
        <c:minorTickMark val="none"/>
        <c:tickLblPos val="nextTo"/>
        <c:crossAx val="86982016"/>
        <c:crosses val="autoZero"/>
        <c:crossBetween val="between"/>
      </c:valAx>
    </c:plotArea>
    <c:legend>
      <c:legendPos val="b"/>
      <c:layout>
        <c:manualLayout>
          <c:xMode val="edge"/>
          <c:yMode val="edge"/>
          <c:x val="0.11579724409448819"/>
          <c:y val="0.79067960254968128"/>
          <c:w val="0.84247958588509775"/>
          <c:h val="0.2093203974503187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Figure (3) Relationship between</a:t>
            </a:r>
            <a:r>
              <a:rPr lang="en-US" sz="1050" b="1" i="0" u="none" strike="noStrike" baseline="0">
                <a:effectLst/>
              </a:rPr>
              <a:t> the reason for demand of family planning with the reasons for domestic violence among ever married women aged (15 to 49 years) by governorate in Egypt</a:t>
            </a:r>
            <a:r>
              <a:rPr lang="en-US" sz="1050"/>
              <a:t> </a:t>
            </a:r>
          </a:p>
        </c:rich>
      </c:tx>
      <c:overlay val="0"/>
    </c:title>
    <c:autoTitleDeleted val="0"/>
    <c:plotArea>
      <c:layout>
        <c:manualLayout>
          <c:layoutTarget val="inner"/>
          <c:xMode val="edge"/>
          <c:yMode val="edge"/>
          <c:x val="7.3513230774978747E-2"/>
          <c:y val="0.19783321202496748"/>
          <c:w val="0.90038949757614817"/>
          <c:h val="0.43373754751244331"/>
        </c:manualLayout>
      </c:layout>
      <c:barChart>
        <c:barDir val="col"/>
        <c:grouping val="clustered"/>
        <c:varyColors val="0"/>
        <c:ser>
          <c:idx val="0"/>
          <c:order val="0"/>
          <c:tx>
            <c:strRef>
              <c:f>Sheet1!$B$1</c:f>
              <c:strCache>
                <c:ptCount val="1"/>
                <c:pt idx="0">
                  <c:v>Demand for FPl</c:v>
                </c:pt>
              </c:strCache>
            </c:strRef>
          </c:tx>
          <c:invertIfNegative val="0"/>
          <c:cat>
            <c:strRef>
              <c:f>Sheet1!$A$2:$A$26</c:f>
              <c:strCache>
                <c:ptCount val="25"/>
                <c:pt idx="0">
                  <c:v>Qena</c:v>
                </c:pt>
                <c:pt idx="1">
                  <c:v>Luxor</c:v>
                </c:pt>
                <c:pt idx="2">
                  <c:v>Fayoum</c:v>
                </c:pt>
                <c:pt idx="3">
                  <c:v>Souhag</c:v>
                </c:pt>
                <c:pt idx="4">
                  <c:v>Menya</c:v>
                </c:pt>
                <c:pt idx="5">
                  <c:v>Matroh</c:v>
                </c:pt>
                <c:pt idx="6">
                  <c:v>Behera</c:v>
                </c:pt>
                <c:pt idx="7">
                  <c:v>Sharkia</c:v>
                </c:pt>
                <c:pt idx="8">
                  <c:v>Assuit</c:v>
                </c:pt>
                <c:pt idx="9">
                  <c:v>Menoufia</c:v>
                </c:pt>
                <c:pt idx="10">
                  <c:v>Kalyubia</c:v>
                </c:pt>
                <c:pt idx="11">
                  <c:v>Dakahlia</c:v>
                </c:pt>
                <c:pt idx="12">
                  <c:v>Gharbia</c:v>
                </c:pt>
                <c:pt idx="13">
                  <c:v>Beni Suef</c:v>
                </c:pt>
                <c:pt idx="14">
                  <c:v>Aswan</c:v>
                </c:pt>
                <c:pt idx="15">
                  <c:v>Alexandria</c:v>
                </c:pt>
                <c:pt idx="16">
                  <c:v>Giza</c:v>
                </c:pt>
                <c:pt idx="17">
                  <c:v>Ismailia</c:v>
                </c:pt>
                <c:pt idx="18">
                  <c:v>Cairo</c:v>
                </c:pt>
                <c:pt idx="19">
                  <c:v>Damietta</c:v>
                </c:pt>
                <c:pt idx="20">
                  <c:v>New Valley</c:v>
                </c:pt>
                <c:pt idx="21">
                  <c:v>Port Said</c:v>
                </c:pt>
                <c:pt idx="22">
                  <c:v>Red Sea</c:v>
                </c:pt>
                <c:pt idx="23">
                  <c:v>Suez</c:v>
                </c:pt>
                <c:pt idx="24">
                  <c:v>Kafr El-Sheikh</c:v>
                </c:pt>
              </c:strCache>
            </c:strRef>
          </c:cat>
          <c:val>
            <c:numRef>
              <c:f>Sheet1!$B$2:$B$26</c:f>
              <c:numCache>
                <c:formatCode>General</c:formatCode>
                <c:ptCount val="25"/>
                <c:pt idx="0">
                  <c:v>20</c:v>
                </c:pt>
                <c:pt idx="1">
                  <c:v>24.6</c:v>
                </c:pt>
                <c:pt idx="2">
                  <c:v>22.5</c:v>
                </c:pt>
                <c:pt idx="3">
                  <c:v>15.8</c:v>
                </c:pt>
                <c:pt idx="4">
                  <c:v>27.4</c:v>
                </c:pt>
                <c:pt idx="5">
                  <c:v>15.3</c:v>
                </c:pt>
                <c:pt idx="6">
                  <c:v>14.7</c:v>
                </c:pt>
                <c:pt idx="7">
                  <c:v>19.5</c:v>
                </c:pt>
                <c:pt idx="8">
                  <c:v>24.1</c:v>
                </c:pt>
                <c:pt idx="9">
                  <c:v>14.3</c:v>
                </c:pt>
                <c:pt idx="10">
                  <c:v>16.7</c:v>
                </c:pt>
                <c:pt idx="11">
                  <c:v>16.2</c:v>
                </c:pt>
                <c:pt idx="12">
                  <c:v>16.5</c:v>
                </c:pt>
                <c:pt idx="13">
                  <c:v>16.8</c:v>
                </c:pt>
                <c:pt idx="14">
                  <c:v>23.7</c:v>
                </c:pt>
                <c:pt idx="15">
                  <c:v>13.9</c:v>
                </c:pt>
                <c:pt idx="16">
                  <c:v>21.5</c:v>
                </c:pt>
                <c:pt idx="17">
                  <c:v>18.600000000000001</c:v>
                </c:pt>
                <c:pt idx="18">
                  <c:v>17.100000000000001</c:v>
                </c:pt>
                <c:pt idx="19">
                  <c:v>17.100000000000001</c:v>
                </c:pt>
                <c:pt idx="20">
                  <c:v>17.399999999999999</c:v>
                </c:pt>
                <c:pt idx="21">
                  <c:v>18</c:v>
                </c:pt>
                <c:pt idx="22">
                  <c:v>26.6</c:v>
                </c:pt>
                <c:pt idx="23">
                  <c:v>23</c:v>
                </c:pt>
                <c:pt idx="24">
                  <c:v>16.2</c:v>
                </c:pt>
              </c:numCache>
            </c:numRef>
          </c:val>
        </c:ser>
        <c:ser>
          <c:idx val="1"/>
          <c:order val="1"/>
          <c:tx>
            <c:strRef>
              <c:f>Sheet1!$C$1</c:f>
              <c:strCache>
                <c:ptCount val="1"/>
                <c:pt idx="0">
                  <c:v>Demand for Birth spacing</c:v>
                </c:pt>
              </c:strCache>
            </c:strRef>
          </c:tx>
          <c:invertIfNegative val="0"/>
          <c:cat>
            <c:strRef>
              <c:f>Sheet1!$A$2:$A$26</c:f>
              <c:strCache>
                <c:ptCount val="25"/>
                <c:pt idx="0">
                  <c:v>Qena</c:v>
                </c:pt>
                <c:pt idx="1">
                  <c:v>Luxor</c:v>
                </c:pt>
                <c:pt idx="2">
                  <c:v>Fayoum</c:v>
                </c:pt>
                <c:pt idx="3">
                  <c:v>Souhag</c:v>
                </c:pt>
                <c:pt idx="4">
                  <c:v>Menya</c:v>
                </c:pt>
                <c:pt idx="5">
                  <c:v>Matroh</c:v>
                </c:pt>
                <c:pt idx="6">
                  <c:v>Behera</c:v>
                </c:pt>
                <c:pt idx="7">
                  <c:v>Sharkia</c:v>
                </c:pt>
                <c:pt idx="8">
                  <c:v>Assuit</c:v>
                </c:pt>
                <c:pt idx="9">
                  <c:v>Menoufia</c:v>
                </c:pt>
                <c:pt idx="10">
                  <c:v>Kalyubia</c:v>
                </c:pt>
                <c:pt idx="11">
                  <c:v>Dakahlia</c:v>
                </c:pt>
                <c:pt idx="12">
                  <c:v>Gharbia</c:v>
                </c:pt>
                <c:pt idx="13">
                  <c:v>Beni Suef</c:v>
                </c:pt>
                <c:pt idx="14">
                  <c:v>Aswan</c:v>
                </c:pt>
                <c:pt idx="15">
                  <c:v>Alexandria</c:v>
                </c:pt>
                <c:pt idx="16">
                  <c:v>Giza</c:v>
                </c:pt>
                <c:pt idx="17">
                  <c:v>Ismailia</c:v>
                </c:pt>
                <c:pt idx="18">
                  <c:v>Cairo</c:v>
                </c:pt>
                <c:pt idx="19">
                  <c:v>Damietta</c:v>
                </c:pt>
                <c:pt idx="20">
                  <c:v>New Valley</c:v>
                </c:pt>
                <c:pt idx="21">
                  <c:v>Port Said</c:v>
                </c:pt>
                <c:pt idx="22">
                  <c:v>Red Sea</c:v>
                </c:pt>
                <c:pt idx="23">
                  <c:v>Suez</c:v>
                </c:pt>
                <c:pt idx="24">
                  <c:v>Kafr El-Sheikh</c:v>
                </c:pt>
              </c:strCache>
            </c:strRef>
          </c:cat>
          <c:val>
            <c:numRef>
              <c:f>Sheet1!$C$2:$C$26</c:f>
              <c:numCache>
                <c:formatCode>General</c:formatCode>
                <c:ptCount val="25"/>
                <c:pt idx="0">
                  <c:v>38.1</c:v>
                </c:pt>
                <c:pt idx="1">
                  <c:v>37.9</c:v>
                </c:pt>
                <c:pt idx="2">
                  <c:v>45.5</c:v>
                </c:pt>
                <c:pt idx="3">
                  <c:v>44.4</c:v>
                </c:pt>
                <c:pt idx="4">
                  <c:v>44.9</c:v>
                </c:pt>
                <c:pt idx="5">
                  <c:v>40.5</c:v>
                </c:pt>
                <c:pt idx="6">
                  <c:v>51.7</c:v>
                </c:pt>
                <c:pt idx="7">
                  <c:v>54.6</c:v>
                </c:pt>
                <c:pt idx="8">
                  <c:v>44.4</c:v>
                </c:pt>
                <c:pt idx="9">
                  <c:v>59.8</c:v>
                </c:pt>
                <c:pt idx="10">
                  <c:v>54.9</c:v>
                </c:pt>
                <c:pt idx="11">
                  <c:v>58.3</c:v>
                </c:pt>
                <c:pt idx="12">
                  <c:v>58.8</c:v>
                </c:pt>
                <c:pt idx="13">
                  <c:v>57.7</c:v>
                </c:pt>
                <c:pt idx="14">
                  <c:v>39.5</c:v>
                </c:pt>
                <c:pt idx="15">
                  <c:v>60.9</c:v>
                </c:pt>
                <c:pt idx="16">
                  <c:v>51.7</c:v>
                </c:pt>
                <c:pt idx="17">
                  <c:v>56</c:v>
                </c:pt>
                <c:pt idx="18">
                  <c:v>56.2</c:v>
                </c:pt>
                <c:pt idx="19">
                  <c:v>58.3</c:v>
                </c:pt>
                <c:pt idx="20">
                  <c:v>54.9</c:v>
                </c:pt>
                <c:pt idx="21">
                  <c:v>54.1</c:v>
                </c:pt>
                <c:pt idx="22">
                  <c:v>42.4</c:v>
                </c:pt>
                <c:pt idx="23">
                  <c:v>48.8</c:v>
                </c:pt>
                <c:pt idx="24">
                  <c:v>57.9</c:v>
                </c:pt>
              </c:numCache>
            </c:numRef>
          </c:val>
        </c:ser>
        <c:dLbls>
          <c:showLegendKey val="0"/>
          <c:showVal val="0"/>
          <c:showCatName val="0"/>
          <c:showSerName val="0"/>
          <c:showPercent val="0"/>
          <c:showBubbleSize val="0"/>
        </c:dLbls>
        <c:gapWidth val="75"/>
        <c:overlap val="-25"/>
        <c:axId val="148324352"/>
        <c:axId val="148325888"/>
      </c:barChart>
      <c:lineChart>
        <c:grouping val="standard"/>
        <c:varyColors val="0"/>
        <c:ser>
          <c:idx val="2"/>
          <c:order val="2"/>
          <c:tx>
            <c:strRef>
              <c:f>Sheet1!$D$1</c:f>
              <c:strCache>
                <c:ptCount val="1"/>
                <c:pt idx="0">
                  <c:v>Any reason for wife beating</c:v>
                </c:pt>
              </c:strCache>
            </c:strRef>
          </c:tx>
          <c:cat>
            <c:strRef>
              <c:f>Sheet1!$A$2:$A$26</c:f>
              <c:strCache>
                <c:ptCount val="25"/>
                <c:pt idx="0">
                  <c:v>Qena</c:v>
                </c:pt>
                <c:pt idx="1">
                  <c:v>Luxor</c:v>
                </c:pt>
                <c:pt idx="2">
                  <c:v>Fayoum</c:v>
                </c:pt>
                <c:pt idx="3">
                  <c:v>Souhag</c:v>
                </c:pt>
                <c:pt idx="4">
                  <c:v>Menya</c:v>
                </c:pt>
                <c:pt idx="5">
                  <c:v>Matroh</c:v>
                </c:pt>
                <c:pt idx="6">
                  <c:v>Behera</c:v>
                </c:pt>
                <c:pt idx="7">
                  <c:v>Sharkia</c:v>
                </c:pt>
                <c:pt idx="8">
                  <c:v>Assuit</c:v>
                </c:pt>
                <c:pt idx="9">
                  <c:v>Menoufia</c:v>
                </c:pt>
                <c:pt idx="10">
                  <c:v>Kalyubia</c:v>
                </c:pt>
                <c:pt idx="11">
                  <c:v>Dakahlia</c:v>
                </c:pt>
                <c:pt idx="12">
                  <c:v>Gharbia</c:v>
                </c:pt>
                <c:pt idx="13">
                  <c:v>Beni Suef</c:v>
                </c:pt>
                <c:pt idx="14">
                  <c:v>Aswan</c:v>
                </c:pt>
                <c:pt idx="15">
                  <c:v>Alexandria</c:v>
                </c:pt>
                <c:pt idx="16">
                  <c:v>Giza</c:v>
                </c:pt>
                <c:pt idx="17">
                  <c:v>Ismailia</c:v>
                </c:pt>
                <c:pt idx="18">
                  <c:v>Cairo</c:v>
                </c:pt>
                <c:pt idx="19">
                  <c:v>Damietta</c:v>
                </c:pt>
                <c:pt idx="20">
                  <c:v>New Valley</c:v>
                </c:pt>
                <c:pt idx="21">
                  <c:v>Port Said</c:v>
                </c:pt>
                <c:pt idx="22">
                  <c:v>Red Sea</c:v>
                </c:pt>
                <c:pt idx="23">
                  <c:v>Suez</c:v>
                </c:pt>
                <c:pt idx="24">
                  <c:v>Kafr El-Sheikh</c:v>
                </c:pt>
              </c:strCache>
            </c:strRef>
          </c:cat>
          <c:val>
            <c:numRef>
              <c:f>Sheet1!$D$2:$D$26</c:f>
              <c:numCache>
                <c:formatCode>General</c:formatCode>
                <c:ptCount val="25"/>
                <c:pt idx="0">
                  <c:v>76.599999999999994</c:v>
                </c:pt>
                <c:pt idx="1">
                  <c:v>55.9</c:v>
                </c:pt>
                <c:pt idx="2">
                  <c:v>49.8</c:v>
                </c:pt>
                <c:pt idx="3">
                  <c:v>59.2</c:v>
                </c:pt>
                <c:pt idx="4">
                  <c:v>58.2</c:v>
                </c:pt>
                <c:pt idx="5">
                  <c:v>36.6</c:v>
                </c:pt>
                <c:pt idx="6">
                  <c:v>35.799999999999997</c:v>
                </c:pt>
                <c:pt idx="7">
                  <c:v>36.6</c:v>
                </c:pt>
                <c:pt idx="8">
                  <c:v>67.8</c:v>
                </c:pt>
                <c:pt idx="9">
                  <c:v>25</c:v>
                </c:pt>
                <c:pt idx="10">
                  <c:v>39.299999999999997</c:v>
                </c:pt>
                <c:pt idx="11">
                  <c:v>36.9</c:v>
                </c:pt>
                <c:pt idx="12">
                  <c:v>38</c:v>
                </c:pt>
                <c:pt idx="13">
                  <c:v>36.6</c:v>
                </c:pt>
                <c:pt idx="14">
                  <c:v>29.3</c:v>
                </c:pt>
                <c:pt idx="15">
                  <c:v>14.9</c:v>
                </c:pt>
                <c:pt idx="16">
                  <c:v>19.2</c:v>
                </c:pt>
                <c:pt idx="17">
                  <c:v>27.6</c:v>
                </c:pt>
                <c:pt idx="18">
                  <c:v>13.9</c:v>
                </c:pt>
                <c:pt idx="19">
                  <c:v>15.5</c:v>
                </c:pt>
                <c:pt idx="20">
                  <c:v>31.4</c:v>
                </c:pt>
                <c:pt idx="21">
                  <c:v>10.1</c:v>
                </c:pt>
                <c:pt idx="22">
                  <c:v>15.9</c:v>
                </c:pt>
                <c:pt idx="23">
                  <c:v>6.8</c:v>
                </c:pt>
                <c:pt idx="24">
                  <c:v>10.9</c:v>
                </c:pt>
              </c:numCache>
            </c:numRef>
          </c:val>
          <c:smooth val="0"/>
        </c:ser>
        <c:ser>
          <c:idx val="3"/>
          <c:order val="3"/>
          <c:tx>
            <c:strRef>
              <c:f>Sheet1!$E$1</c:f>
              <c:strCache>
                <c:ptCount val="1"/>
                <c:pt idx="0">
                  <c:v>refuses to have sex</c:v>
                </c:pt>
              </c:strCache>
            </c:strRef>
          </c:tx>
          <c:cat>
            <c:strRef>
              <c:f>Sheet1!$A$2:$A$26</c:f>
              <c:strCache>
                <c:ptCount val="25"/>
                <c:pt idx="0">
                  <c:v>Qena</c:v>
                </c:pt>
                <c:pt idx="1">
                  <c:v>Luxor</c:v>
                </c:pt>
                <c:pt idx="2">
                  <c:v>Fayoum</c:v>
                </c:pt>
                <c:pt idx="3">
                  <c:v>Souhag</c:v>
                </c:pt>
                <c:pt idx="4">
                  <c:v>Menya</c:v>
                </c:pt>
                <c:pt idx="5">
                  <c:v>Matroh</c:v>
                </c:pt>
                <c:pt idx="6">
                  <c:v>Behera</c:v>
                </c:pt>
                <c:pt idx="7">
                  <c:v>Sharkia</c:v>
                </c:pt>
                <c:pt idx="8">
                  <c:v>Assuit</c:v>
                </c:pt>
                <c:pt idx="9">
                  <c:v>Menoufia</c:v>
                </c:pt>
                <c:pt idx="10">
                  <c:v>Kalyubia</c:v>
                </c:pt>
                <c:pt idx="11">
                  <c:v>Dakahlia</c:v>
                </c:pt>
                <c:pt idx="12">
                  <c:v>Gharbia</c:v>
                </c:pt>
                <c:pt idx="13">
                  <c:v>Beni Suef</c:v>
                </c:pt>
                <c:pt idx="14">
                  <c:v>Aswan</c:v>
                </c:pt>
                <c:pt idx="15">
                  <c:v>Alexandria</c:v>
                </c:pt>
                <c:pt idx="16">
                  <c:v>Giza</c:v>
                </c:pt>
                <c:pt idx="17">
                  <c:v>Ismailia</c:v>
                </c:pt>
                <c:pt idx="18">
                  <c:v>Cairo</c:v>
                </c:pt>
                <c:pt idx="19">
                  <c:v>Damietta</c:v>
                </c:pt>
                <c:pt idx="20">
                  <c:v>New Valley</c:v>
                </c:pt>
                <c:pt idx="21">
                  <c:v>Port Said</c:v>
                </c:pt>
                <c:pt idx="22">
                  <c:v>Red Sea</c:v>
                </c:pt>
                <c:pt idx="23">
                  <c:v>Suez</c:v>
                </c:pt>
                <c:pt idx="24">
                  <c:v>Kafr El-Sheikh</c:v>
                </c:pt>
              </c:strCache>
            </c:strRef>
          </c:cat>
          <c:val>
            <c:numRef>
              <c:f>Sheet1!$E$2:$E$26</c:f>
              <c:numCache>
                <c:formatCode>General</c:formatCode>
                <c:ptCount val="25"/>
                <c:pt idx="0">
                  <c:v>59.4</c:v>
                </c:pt>
                <c:pt idx="1">
                  <c:v>39.799999999999997</c:v>
                </c:pt>
                <c:pt idx="2">
                  <c:v>38.9</c:v>
                </c:pt>
                <c:pt idx="3">
                  <c:v>31.9</c:v>
                </c:pt>
                <c:pt idx="4">
                  <c:v>27.3</c:v>
                </c:pt>
                <c:pt idx="5">
                  <c:v>25.8</c:v>
                </c:pt>
                <c:pt idx="6">
                  <c:v>25</c:v>
                </c:pt>
                <c:pt idx="7">
                  <c:v>23.8</c:v>
                </c:pt>
                <c:pt idx="8">
                  <c:v>22.5</c:v>
                </c:pt>
                <c:pt idx="9">
                  <c:v>21.3</c:v>
                </c:pt>
                <c:pt idx="10">
                  <c:v>20.7</c:v>
                </c:pt>
                <c:pt idx="11">
                  <c:v>17.399999999999999</c:v>
                </c:pt>
                <c:pt idx="12">
                  <c:v>17.399999999999999</c:v>
                </c:pt>
                <c:pt idx="13">
                  <c:v>17.3</c:v>
                </c:pt>
                <c:pt idx="14">
                  <c:v>15.9</c:v>
                </c:pt>
                <c:pt idx="15">
                  <c:v>10</c:v>
                </c:pt>
                <c:pt idx="16">
                  <c:v>9.8000000000000007</c:v>
                </c:pt>
                <c:pt idx="17">
                  <c:v>8.6</c:v>
                </c:pt>
                <c:pt idx="18">
                  <c:v>7.9</c:v>
                </c:pt>
                <c:pt idx="19">
                  <c:v>5.5</c:v>
                </c:pt>
                <c:pt idx="20">
                  <c:v>4.0999999999999996</c:v>
                </c:pt>
                <c:pt idx="21">
                  <c:v>4</c:v>
                </c:pt>
                <c:pt idx="22">
                  <c:v>3.4</c:v>
                </c:pt>
                <c:pt idx="23">
                  <c:v>3.3</c:v>
                </c:pt>
                <c:pt idx="24">
                  <c:v>0.3</c:v>
                </c:pt>
              </c:numCache>
            </c:numRef>
          </c:val>
          <c:smooth val="0"/>
        </c:ser>
        <c:dLbls>
          <c:showLegendKey val="0"/>
          <c:showVal val="0"/>
          <c:showCatName val="0"/>
          <c:showSerName val="0"/>
          <c:showPercent val="0"/>
          <c:showBubbleSize val="0"/>
        </c:dLbls>
        <c:marker val="1"/>
        <c:smooth val="0"/>
        <c:axId val="148324352"/>
        <c:axId val="148325888"/>
      </c:lineChart>
      <c:catAx>
        <c:axId val="148324352"/>
        <c:scaling>
          <c:orientation val="minMax"/>
        </c:scaling>
        <c:delete val="0"/>
        <c:axPos val="b"/>
        <c:majorTickMark val="none"/>
        <c:minorTickMark val="none"/>
        <c:tickLblPos val="nextTo"/>
        <c:txPr>
          <a:bodyPr/>
          <a:lstStyle/>
          <a:p>
            <a:pPr>
              <a:defRPr sz="1050" b="1"/>
            </a:pPr>
            <a:endParaRPr lang="en-US"/>
          </a:p>
        </c:txPr>
        <c:crossAx val="148325888"/>
        <c:crosses val="autoZero"/>
        <c:auto val="1"/>
        <c:lblAlgn val="ctr"/>
        <c:lblOffset val="100"/>
        <c:noMultiLvlLbl val="0"/>
      </c:catAx>
      <c:valAx>
        <c:axId val="148325888"/>
        <c:scaling>
          <c:orientation val="minMax"/>
        </c:scaling>
        <c:delete val="0"/>
        <c:axPos val="l"/>
        <c:majorGridlines/>
        <c:numFmt formatCode="General" sourceLinked="1"/>
        <c:majorTickMark val="none"/>
        <c:minorTickMark val="none"/>
        <c:tickLblPos val="nextTo"/>
        <c:spPr>
          <a:ln w="9525">
            <a:noFill/>
          </a:ln>
        </c:spPr>
        <c:crossAx val="14832435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3079</Words>
  <Characters>17553</Characters>
  <Application>Microsoft Office Word</Application>
  <DocSecurity>0</DocSecurity>
  <Lines>146</Lines>
  <Paragraphs>41</Paragraphs>
  <ScaleCrop>false</ScaleCrop>
  <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2020-11-29T12:23:00Z</dcterms:created>
  <dcterms:modified xsi:type="dcterms:W3CDTF">2020-11-29T12:24:00Z</dcterms:modified>
</cp:coreProperties>
</file>